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92E6" w14:textId="77777777" w:rsidR="008B175F" w:rsidRPr="00DB583F" w:rsidRDefault="00DB583F">
      <w:pPr>
        <w:spacing w:before="65"/>
        <w:ind w:left="1529" w:right="806"/>
        <w:jc w:val="center"/>
        <w:rPr>
          <w:sz w:val="28"/>
        </w:rPr>
      </w:pPr>
      <w:r w:rsidRPr="00DB583F">
        <w:rPr>
          <w:sz w:val="28"/>
        </w:rPr>
        <w:t>Information for the attention of Implementation Committee, Convention on Environmental Impact Assessment in a Transboundary Context (Espoo, 1991)</w:t>
      </w:r>
    </w:p>
    <w:p w14:paraId="63717F5C" w14:textId="77777777" w:rsidR="00DB583F" w:rsidRDefault="00DB583F" w:rsidP="00DB583F">
      <w:pPr>
        <w:pStyle w:val="BodyText"/>
        <w:spacing w:before="271" w:line="247" w:lineRule="auto"/>
        <w:ind w:left="1800" w:right="220" w:hanging="780"/>
        <w:rPr>
          <w:w w:val="105"/>
          <w:sz w:val="22"/>
          <w:szCs w:val="22"/>
        </w:rPr>
      </w:pPr>
      <w:r w:rsidRPr="00DB583F">
        <w:rPr>
          <w:w w:val="105"/>
          <w:sz w:val="22"/>
          <w:szCs w:val="22"/>
        </w:rPr>
        <w:t>To be s</w:t>
      </w:r>
      <w:r>
        <w:rPr>
          <w:w w:val="105"/>
          <w:sz w:val="22"/>
          <w:szCs w:val="22"/>
        </w:rPr>
        <w:t xml:space="preserve">ent through the Secretary to the </w:t>
      </w:r>
      <w:r w:rsidRPr="00DB583F">
        <w:rPr>
          <w:w w:val="105"/>
          <w:sz w:val="22"/>
          <w:szCs w:val="22"/>
        </w:rPr>
        <w:t xml:space="preserve">Сonvention: </w:t>
      </w:r>
    </w:p>
    <w:p w14:paraId="142FC55D" w14:textId="77777777" w:rsidR="008B175F" w:rsidRPr="00DB583F" w:rsidRDefault="00DB583F" w:rsidP="00DB583F">
      <w:pPr>
        <w:pStyle w:val="BodyText"/>
        <w:spacing w:line="247" w:lineRule="auto"/>
        <w:ind w:left="1800" w:right="220" w:hanging="90"/>
        <w:rPr>
          <w:sz w:val="22"/>
          <w:szCs w:val="22"/>
        </w:rPr>
      </w:pPr>
      <w:r w:rsidRPr="00DB583F">
        <w:rPr>
          <w:w w:val="105"/>
          <w:sz w:val="22"/>
          <w:szCs w:val="22"/>
        </w:rPr>
        <w:t>Ms. Tea Aulavuo</w:t>
      </w:r>
    </w:p>
    <w:p w14:paraId="07B34B91" w14:textId="77777777" w:rsidR="00DB583F" w:rsidRPr="001B0987" w:rsidRDefault="00DB583F" w:rsidP="00DB583F">
      <w:pPr>
        <w:pStyle w:val="BodyText"/>
        <w:spacing w:before="2" w:line="247" w:lineRule="auto"/>
        <w:ind w:left="1698" w:right="1120"/>
        <w:rPr>
          <w:w w:val="105"/>
          <w:sz w:val="22"/>
          <w:szCs w:val="22"/>
        </w:rPr>
      </w:pPr>
      <w:r w:rsidRPr="001B0987">
        <w:rPr>
          <w:w w:val="105"/>
          <w:sz w:val="22"/>
          <w:szCs w:val="22"/>
        </w:rPr>
        <w:t xml:space="preserve">United Nations Economic Commission for Europe </w:t>
      </w:r>
    </w:p>
    <w:p w14:paraId="0466B7CC" w14:textId="77777777" w:rsidR="008B175F" w:rsidRPr="00DB583F" w:rsidRDefault="00DB583F" w:rsidP="00DB583F">
      <w:pPr>
        <w:pStyle w:val="BodyText"/>
        <w:spacing w:before="2" w:line="247" w:lineRule="auto"/>
        <w:ind w:left="1698" w:right="1120"/>
        <w:rPr>
          <w:sz w:val="22"/>
          <w:szCs w:val="22"/>
          <w:lang w:val="fr-CH"/>
        </w:rPr>
      </w:pPr>
      <w:r w:rsidRPr="00DB583F">
        <w:rPr>
          <w:w w:val="105"/>
          <w:sz w:val="22"/>
          <w:szCs w:val="22"/>
          <w:lang w:val="fr-CH"/>
        </w:rPr>
        <w:t>Office 319, Palais des Nations,</w:t>
      </w:r>
    </w:p>
    <w:p w14:paraId="73A5B079" w14:textId="77777777" w:rsidR="008B175F" w:rsidRPr="00DB583F" w:rsidRDefault="00DB583F">
      <w:pPr>
        <w:pStyle w:val="BodyText"/>
        <w:spacing w:before="2"/>
        <w:ind w:left="1698"/>
        <w:rPr>
          <w:sz w:val="22"/>
          <w:szCs w:val="22"/>
          <w:lang w:val="fr-CH"/>
        </w:rPr>
      </w:pPr>
      <w:r w:rsidRPr="00DB583F">
        <w:rPr>
          <w:w w:val="105"/>
          <w:sz w:val="22"/>
          <w:szCs w:val="22"/>
          <w:lang w:val="fr-CH"/>
        </w:rPr>
        <w:t>8-14 Avenue de la Paix, 1211 Genève 10, Switzerland</w:t>
      </w:r>
    </w:p>
    <w:p w14:paraId="367007F8" w14:textId="77777777" w:rsidR="008B175F" w:rsidRPr="00DB583F" w:rsidRDefault="00DB583F">
      <w:pPr>
        <w:pStyle w:val="BodyText"/>
        <w:spacing w:before="8"/>
        <w:ind w:left="1698"/>
        <w:rPr>
          <w:sz w:val="22"/>
          <w:szCs w:val="22"/>
        </w:rPr>
      </w:pPr>
      <w:r w:rsidRPr="00DB583F">
        <w:rPr>
          <w:w w:val="105"/>
          <w:sz w:val="22"/>
          <w:szCs w:val="22"/>
        </w:rPr>
        <w:t>Tel.: +41 22 917 17</w:t>
      </w:r>
      <w:r w:rsidRPr="00DB583F">
        <w:rPr>
          <w:spacing w:val="-36"/>
          <w:w w:val="105"/>
          <w:sz w:val="22"/>
          <w:szCs w:val="22"/>
        </w:rPr>
        <w:t xml:space="preserve"> </w:t>
      </w:r>
      <w:r w:rsidRPr="00DB583F">
        <w:rPr>
          <w:w w:val="105"/>
          <w:sz w:val="22"/>
          <w:szCs w:val="22"/>
        </w:rPr>
        <w:t>23</w:t>
      </w:r>
    </w:p>
    <w:p w14:paraId="02EE923C" w14:textId="77777777" w:rsidR="008B175F" w:rsidRPr="00DB583F" w:rsidRDefault="00DB583F">
      <w:pPr>
        <w:pStyle w:val="BodyText"/>
        <w:spacing w:before="8"/>
        <w:ind w:left="1698"/>
        <w:rPr>
          <w:sz w:val="22"/>
          <w:szCs w:val="22"/>
        </w:rPr>
      </w:pPr>
      <w:r w:rsidRPr="00DB583F">
        <w:rPr>
          <w:w w:val="105"/>
          <w:sz w:val="22"/>
          <w:szCs w:val="22"/>
        </w:rPr>
        <w:t>Fax: +41 22 917 01</w:t>
      </w:r>
      <w:r w:rsidRPr="00DB583F">
        <w:rPr>
          <w:spacing w:val="-36"/>
          <w:w w:val="105"/>
          <w:sz w:val="22"/>
          <w:szCs w:val="22"/>
        </w:rPr>
        <w:t xml:space="preserve"> </w:t>
      </w:r>
      <w:r w:rsidRPr="00DB583F">
        <w:rPr>
          <w:w w:val="105"/>
          <w:sz w:val="22"/>
          <w:szCs w:val="22"/>
        </w:rPr>
        <w:t>07</w:t>
      </w:r>
    </w:p>
    <w:p w14:paraId="156CB2CF" w14:textId="77777777" w:rsidR="008B175F" w:rsidRPr="00DB583F" w:rsidRDefault="00DB583F">
      <w:pPr>
        <w:pStyle w:val="BodyText"/>
        <w:spacing w:before="9" w:line="247" w:lineRule="auto"/>
        <w:ind w:left="1698" w:right="5022"/>
        <w:rPr>
          <w:sz w:val="22"/>
          <w:szCs w:val="22"/>
        </w:rPr>
      </w:pPr>
      <w:r w:rsidRPr="00DB583F">
        <w:rPr>
          <w:w w:val="105"/>
          <w:sz w:val="22"/>
          <w:szCs w:val="22"/>
        </w:rPr>
        <w:t xml:space="preserve">E-mail: </w:t>
      </w:r>
      <w:hyperlink r:id="rId8" w:history="1">
        <w:r w:rsidRPr="00E21984">
          <w:rPr>
            <w:rStyle w:val="Hyperlink"/>
            <w:w w:val="105"/>
            <w:sz w:val="22"/>
            <w:szCs w:val="22"/>
            <w:u w:color="0000FF"/>
          </w:rPr>
          <w:t>eia.conv@un.org</w:t>
        </w:r>
      </w:hyperlink>
      <w:r w:rsidRPr="00DB583F">
        <w:rPr>
          <w:color w:val="0000FF"/>
          <w:w w:val="105"/>
          <w:sz w:val="22"/>
          <w:szCs w:val="22"/>
        </w:rPr>
        <w:t xml:space="preserve"> </w:t>
      </w:r>
      <w:r w:rsidRPr="00DB583F">
        <w:rPr>
          <w:sz w:val="22"/>
          <w:szCs w:val="22"/>
        </w:rPr>
        <w:t xml:space="preserve">Website: </w:t>
      </w:r>
      <w:hyperlink r:id="rId9">
        <w:r w:rsidRPr="00DB583F">
          <w:rPr>
            <w:color w:val="0000FF"/>
            <w:sz w:val="22"/>
            <w:szCs w:val="22"/>
            <w:u w:val="single" w:color="0000FF"/>
          </w:rPr>
          <w:t>www.unece.org/env/eia</w:t>
        </w:r>
      </w:hyperlink>
    </w:p>
    <w:p w14:paraId="06146CB9" w14:textId="77777777" w:rsidR="008B175F" w:rsidRDefault="008B175F">
      <w:pPr>
        <w:pStyle w:val="BodyText"/>
        <w:spacing w:before="3"/>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6757"/>
      </w:tblGrid>
      <w:tr w:rsidR="008B175F" w14:paraId="4AA44895" w14:textId="77777777" w:rsidTr="00D824B7">
        <w:trPr>
          <w:trHeight w:val="475"/>
        </w:trPr>
        <w:tc>
          <w:tcPr>
            <w:tcW w:w="2673" w:type="dxa"/>
          </w:tcPr>
          <w:p w14:paraId="589B9E31" w14:textId="77777777" w:rsidR="008B175F" w:rsidRDefault="00DB583F">
            <w:pPr>
              <w:pStyle w:val="TableParagraph"/>
              <w:spacing w:before="2" w:line="238" w:lineRule="exact"/>
              <w:rPr>
                <w:sz w:val="20"/>
              </w:rPr>
            </w:pPr>
            <w:r w:rsidRPr="001B0987">
              <w:rPr>
                <w:w w:val="105"/>
                <w:szCs w:val="24"/>
              </w:rPr>
              <w:t>Date sent to the Secretary</w:t>
            </w:r>
          </w:p>
        </w:tc>
        <w:tc>
          <w:tcPr>
            <w:tcW w:w="6757" w:type="dxa"/>
          </w:tcPr>
          <w:p w14:paraId="6510A55A" w14:textId="77777777" w:rsidR="008B175F" w:rsidRPr="00F71B54" w:rsidRDefault="00D824B7">
            <w:pPr>
              <w:pStyle w:val="TableParagraph"/>
              <w:ind w:left="0"/>
            </w:pPr>
            <w:r>
              <w:rPr>
                <w:rFonts w:ascii="Times New Roman"/>
                <w:sz w:val="20"/>
              </w:rPr>
              <w:t xml:space="preserve">  </w:t>
            </w:r>
            <w:r w:rsidR="00D662AA">
              <w:t>14 August</w:t>
            </w:r>
            <w:r w:rsidR="004A17C1" w:rsidRPr="00F71B54">
              <w:t xml:space="preserve"> 20</w:t>
            </w:r>
            <w:r w:rsidR="00595132">
              <w:t>23</w:t>
            </w:r>
          </w:p>
        </w:tc>
      </w:tr>
    </w:tbl>
    <w:p w14:paraId="1B8162A2" w14:textId="77777777" w:rsidR="008B175F" w:rsidRDefault="008B175F">
      <w:pPr>
        <w:pStyle w:val="BodyText"/>
        <w:spacing w:before="11"/>
        <w:rPr>
          <w:sz w:val="22"/>
        </w:rPr>
      </w:pPr>
    </w:p>
    <w:p w14:paraId="4DB1A6E9" w14:textId="77777777" w:rsidR="008B175F" w:rsidRDefault="00DB583F">
      <w:pPr>
        <w:pStyle w:val="Heading1"/>
        <w:spacing w:after="3"/>
        <w:jc w:val="left"/>
      </w:pPr>
      <w:r>
        <w:rPr>
          <w:w w:val="105"/>
        </w:rPr>
        <w:t>Sent by (“the source”):</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6757"/>
      </w:tblGrid>
      <w:tr w:rsidR="008B175F" w14:paraId="79B07386" w14:textId="77777777" w:rsidTr="00D824B7">
        <w:trPr>
          <w:trHeight w:val="260"/>
        </w:trPr>
        <w:tc>
          <w:tcPr>
            <w:tcW w:w="2673" w:type="dxa"/>
          </w:tcPr>
          <w:p w14:paraId="335D0C1E" w14:textId="77777777" w:rsidR="008B175F" w:rsidRDefault="00DB583F">
            <w:pPr>
              <w:pStyle w:val="TableParagraph"/>
              <w:spacing w:before="4" w:line="235" w:lineRule="exact"/>
            </w:pPr>
            <w:r>
              <w:rPr>
                <w:w w:val="105"/>
              </w:rPr>
              <w:t>Name</w:t>
            </w:r>
          </w:p>
        </w:tc>
        <w:tc>
          <w:tcPr>
            <w:tcW w:w="6757" w:type="dxa"/>
          </w:tcPr>
          <w:p w14:paraId="13A69BB7" w14:textId="77777777" w:rsidR="008B175F" w:rsidRDefault="004A17C1">
            <w:pPr>
              <w:pStyle w:val="TableParagraph"/>
              <w:spacing w:before="4" w:line="235" w:lineRule="exact"/>
              <w:ind w:left="98"/>
            </w:pPr>
            <w:r>
              <w:t>Dimiter Koumanov</w:t>
            </w:r>
          </w:p>
        </w:tc>
      </w:tr>
      <w:tr w:rsidR="008B175F" w14:paraId="466FCAA0" w14:textId="77777777" w:rsidTr="00D824B7">
        <w:trPr>
          <w:trHeight w:val="258"/>
        </w:trPr>
        <w:tc>
          <w:tcPr>
            <w:tcW w:w="2673" w:type="dxa"/>
          </w:tcPr>
          <w:p w14:paraId="014CD6CB" w14:textId="77777777" w:rsidR="008B175F" w:rsidRDefault="00DB583F">
            <w:pPr>
              <w:pStyle w:val="TableParagraph"/>
              <w:spacing w:before="3" w:line="235" w:lineRule="exact"/>
            </w:pPr>
            <w:r>
              <w:rPr>
                <w:w w:val="105"/>
              </w:rPr>
              <w:t>Organization</w:t>
            </w:r>
          </w:p>
        </w:tc>
        <w:tc>
          <w:tcPr>
            <w:tcW w:w="6757" w:type="dxa"/>
          </w:tcPr>
          <w:p w14:paraId="7BD8C7A4" w14:textId="77777777" w:rsidR="008B175F" w:rsidRDefault="004A17C1">
            <w:pPr>
              <w:pStyle w:val="TableParagraph"/>
              <w:spacing w:before="3" w:line="235" w:lineRule="exact"/>
              <w:ind w:left="98"/>
            </w:pPr>
            <w:r>
              <w:t>Balkanka Association, Sofia, Bulgaria</w:t>
            </w:r>
          </w:p>
        </w:tc>
      </w:tr>
      <w:tr w:rsidR="008B175F" w:rsidRPr="00DB583F" w14:paraId="7A6C421F" w14:textId="77777777" w:rsidTr="00D824B7">
        <w:trPr>
          <w:trHeight w:val="258"/>
        </w:trPr>
        <w:tc>
          <w:tcPr>
            <w:tcW w:w="2673" w:type="dxa"/>
          </w:tcPr>
          <w:p w14:paraId="49BD3EA8" w14:textId="77777777" w:rsidR="008B175F" w:rsidRDefault="00DB583F">
            <w:pPr>
              <w:pStyle w:val="TableParagraph"/>
              <w:spacing w:before="4" w:line="235" w:lineRule="exact"/>
            </w:pPr>
            <w:r>
              <w:rPr>
                <w:w w:val="105"/>
              </w:rPr>
              <w:t>Postal address</w:t>
            </w:r>
          </w:p>
        </w:tc>
        <w:tc>
          <w:tcPr>
            <w:tcW w:w="6757" w:type="dxa"/>
          </w:tcPr>
          <w:p w14:paraId="7C198766" w14:textId="47EBEA96" w:rsidR="008B175F" w:rsidRPr="004A17C1" w:rsidRDefault="008275D9" w:rsidP="004A17C1">
            <w:pPr>
              <w:ind w:left="96"/>
              <w:jc w:val="both"/>
              <w:rPr>
                <w:sz w:val="16"/>
                <w:szCs w:val="16"/>
                <w:lang w:val="de-AT"/>
              </w:rPr>
            </w:pPr>
            <w:r>
              <w:t xml:space="preserve"> </w:t>
            </w:r>
          </w:p>
        </w:tc>
      </w:tr>
      <w:tr w:rsidR="008B175F" w14:paraId="36A9E995" w14:textId="77777777" w:rsidTr="00D824B7">
        <w:trPr>
          <w:trHeight w:val="260"/>
        </w:trPr>
        <w:tc>
          <w:tcPr>
            <w:tcW w:w="2673" w:type="dxa"/>
          </w:tcPr>
          <w:p w14:paraId="26319906" w14:textId="77777777" w:rsidR="008B175F" w:rsidRDefault="00DB583F">
            <w:pPr>
              <w:pStyle w:val="TableParagraph"/>
              <w:spacing w:before="4" w:line="236" w:lineRule="exact"/>
            </w:pPr>
            <w:r>
              <w:rPr>
                <w:w w:val="105"/>
              </w:rPr>
              <w:t>Country (State)</w:t>
            </w:r>
          </w:p>
        </w:tc>
        <w:tc>
          <w:tcPr>
            <w:tcW w:w="6757" w:type="dxa"/>
          </w:tcPr>
          <w:p w14:paraId="57C83519" w14:textId="77777777" w:rsidR="008B175F" w:rsidRDefault="004A17C1">
            <w:pPr>
              <w:pStyle w:val="TableParagraph"/>
              <w:spacing w:before="4" w:line="236" w:lineRule="exact"/>
              <w:ind w:left="99"/>
            </w:pPr>
            <w:r>
              <w:t>Bulgaria</w:t>
            </w:r>
          </w:p>
        </w:tc>
      </w:tr>
      <w:tr w:rsidR="008B175F" w14:paraId="78905796" w14:textId="77777777" w:rsidTr="00D824B7">
        <w:trPr>
          <w:trHeight w:val="258"/>
        </w:trPr>
        <w:tc>
          <w:tcPr>
            <w:tcW w:w="2673" w:type="dxa"/>
          </w:tcPr>
          <w:p w14:paraId="2F72C961" w14:textId="77777777" w:rsidR="008B175F" w:rsidRDefault="00DB583F">
            <w:pPr>
              <w:pStyle w:val="TableParagraph"/>
              <w:spacing w:before="3" w:line="236" w:lineRule="exact"/>
            </w:pPr>
            <w:r>
              <w:rPr>
                <w:w w:val="105"/>
              </w:rPr>
              <w:t>Telephone</w:t>
            </w:r>
          </w:p>
        </w:tc>
        <w:tc>
          <w:tcPr>
            <w:tcW w:w="6757" w:type="dxa"/>
          </w:tcPr>
          <w:p w14:paraId="61A45651" w14:textId="70BF9CE6" w:rsidR="008B175F" w:rsidRDefault="004A17C1">
            <w:pPr>
              <w:pStyle w:val="TableParagraph"/>
              <w:spacing w:before="3" w:line="236" w:lineRule="exact"/>
              <w:ind w:left="99"/>
            </w:pPr>
            <w:r>
              <w:t>+</w:t>
            </w:r>
            <w:r w:rsidR="008275D9">
              <w:t xml:space="preserve"> </w:t>
            </w:r>
          </w:p>
        </w:tc>
      </w:tr>
      <w:tr w:rsidR="008B175F" w14:paraId="4705F093" w14:textId="77777777" w:rsidTr="00D824B7">
        <w:trPr>
          <w:trHeight w:val="258"/>
        </w:trPr>
        <w:tc>
          <w:tcPr>
            <w:tcW w:w="2673" w:type="dxa"/>
          </w:tcPr>
          <w:p w14:paraId="547D007D" w14:textId="77777777" w:rsidR="008B175F" w:rsidRDefault="00DB583F">
            <w:pPr>
              <w:pStyle w:val="TableParagraph"/>
              <w:spacing w:before="3" w:line="236" w:lineRule="exact"/>
            </w:pPr>
            <w:r>
              <w:rPr>
                <w:w w:val="105"/>
              </w:rPr>
              <w:t>Fax</w:t>
            </w:r>
          </w:p>
        </w:tc>
        <w:tc>
          <w:tcPr>
            <w:tcW w:w="6757" w:type="dxa"/>
          </w:tcPr>
          <w:p w14:paraId="5A88A3EF" w14:textId="77777777" w:rsidR="008B175F" w:rsidRDefault="008B175F">
            <w:pPr>
              <w:pStyle w:val="TableParagraph"/>
              <w:spacing w:before="3" w:line="236" w:lineRule="exact"/>
              <w:ind w:left="99"/>
            </w:pPr>
          </w:p>
        </w:tc>
      </w:tr>
      <w:tr w:rsidR="008B175F" w14:paraId="5907CC45" w14:textId="77777777" w:rsidTr="00D824B7">
        <w:trPr>
          <w:trHeight w:val="259"/>
        </w:trPr>
        <w:tc>
          <w:tcPr>
            <w:tcW w:w="2673" w:type="dxa"/>
          </w:tcPr>
          <w:p w14:paraId="49EB0EB2" w14:textId="77777777" w:rsidR="008B175F" w:rsidRDefault="00DB583F">
            <w:pPr>
              <w:pStyle w:val="TableParagraph"/>
              <w:spacing w:before="4" w:line="235" w:lineRule="exact"/>
            </w:pPr>
            <w:r>
              <w:rPr>
                <w:w w:val="105"/>
              </w:rPr>
              <w:t>E-mail</w:t>
            </w:r>
          </w:p>
        </w:tc>
        <w:tc>
          <w:tcPr>
            <w:tcW w:w="6757" w:type="dxa"/>
          </w:tcPr>
          <w:p w14:paraId="599F8D97" w14:textId="2B45E43F" w:rsidR="008B175F" w:rsidRDefault="008B175F">
            <w:pPr>
              <w:pStyle w:val="TableParagraph"/>
              <w:spacing w:before="4" w:line="235" w:lineRule="exact"/>
            </w:pPr>
          </w:p>
        </w:tc>
      </w:tr>
      <w:tr w:rsidR="008B175F" w14:paraId="45339096" w14:textId="77777777" w:rsidTr="00D824B7">
        <w:trPr>
          <w:trHeight w:val="258"/>
        </w:trPr>
        <w:tc>
          <w:tcPr>
            <w:tcW w:w="2673" w:type="dxa"/>
          </w:tcPr>
          <w:p w14:paraId="1B345AEB" w14:textId="77777777" w:rsidR="008B175F" w:rsidRDefault="00DB583F">
            <w:pPr>
              <w:pStyle w:val="TableParagraph"/>
              <w:spacing w:before="3" w:line="235" w:lineRule="exact"/>
            </w:pPr>
            <w:r>
              <w:rPr>
                <w:w w:val="105"/>
              </w:rPr>
              <w:t>Website</w:t>
            </w:r>
          </w:p>
        </w:tc>
        <w:tc>
          <w:tcPr>
            <w:tcW w:w="6757" w:type="dxa"/>
          </w:tcPr>
          <w:p w14:paraId="4290B9C5" w14:textId="77777777" w:rsidR="008B175F" w:rsidRDefault="00000000">
            <w:pPr>
              <w:pStyle w:val="TableParagraph"/>
              <w:spacing w:before="3" w:line="235" w:lineRule="exact"/>
              <w:ind w:left="99"/>
            </w:pPr>
            <w:hyperlink r:id="rId10" w:history="1">
              <w:r w:rsidR="00595132" w:rsidRPr="00595132">
                <w:rPr>
                  <w:rStyle w:val="Hyperlink"/>
                </w:rPr>
                <w:t>https://balkanka.bg/</w:t>
              </w:r>
            </w:hyperlink>
            <w:r w:rsidR="00F800BB">
              <w:t xml:space="preserve"> </w:t>
            </w:r>
            <w:r w:rsidR="002F6E38">
              <w:t xml:space="preserve">;  </w:t>
            </w:r>
            <w:r w:rsidR="00F800BB">
              <w:t xml:space="preserve">      </w:t>
            </w:r>
            <w:hyperlink r:id="rId11" w:history="1">
              <w:r w:rsidR="002F6E38" w:rsidRPr="002F6E38">
                <w:rPr>
                  <w:rStyle w:val="Hyperlink"/>
                </w:rPr>
                <w:t>https://dams.reki.bg/Dams/Map</w:t>
              </w:r>
            </w:hyperlink>
            <w:r w:rsidR="001445DC">
              <w:t xml:space="preserve"> ;  </w:t>
            </w:r>
            <w:hyperlink r:id="rId12" w:history="1">
              <w:r w:rsidR="001445DC" w:rsidRPr="001445DC">
                <w:rPr>
                  <w:rStyle w:val="Hyperlink"/>
                </w:rPr>
                <w:t>https://www.facebook.com/balkanka.bg/</w:t>
              </w:r>
            </w:hyperlink>
          </w:p>
        </w:tc>
      </w:tr>
    </w:tbl>
    <w:p w14:paraId="663E920C" w14:textId="77777777" w:rsidR="008B175F" w:rsidRDefault="00DB583F">
      <w:pPr>
        <w:spacing w:before="3" w:after="3"/>
        <w:ind w:left="1020"/>
      </w:pPr>
      <w:r>
        <w:rPr>
          <w:w w:val="105"/>
        </w:rPr>
        <w:t>Concerning:</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7654"/>
      </w:tblGrid>
      <w:tr w:rsidR="008B175F" w14:paraId="2969650F" w14:textId="77777777" w:rsidTr="00090239">
        <w:trPr>
          <w:trHeight w:val="955"/>
        </w:trPr>
        <w:tc>
          <w:tcPr>
            <w:tcW w:w="2836" w:type="dxa"/>
          </w:tcPr>
          <w:p w14:paraId="0975C21C" w14:textId="77777777" w:rsidR="008B175F" w:rsidRPr="001B0987" w:rsidRDefault="00DB583F">
            <w:pPr>
              <w:pStyle w:val="TableParagraph"/>
              <w:spacing w:before="5" w:line="242" w:lineRule="auto"/>
              <w:ind w:right="125"/>
              <w:rPr>
                <w:sz w:val="18"/>
                <w:szCs w:val="24"/>
              </w:rPr>
            </w:pPr>
            <w:r w:rsidRPr="001B0987">
              <w:rPr>
                <w:rFonts w:asciiTheme="minorBidi" w:hAnsiTheme="minorBidi" w:cstheme="minorBidi"/>
              </w:rPr>
              <w:t>Party or Parties (States) of origin</w:t>
            </w:r>
            <w:r w:rsidRPr="001B0987">
              <w:rPr>
                <w:sz w:val="18"/>
                <w:szCs w:val="24"/>
              </w:rPr>
              <w:t>, under whose jurisdiction a proposed activity is</w:t>
            </w:r>
          </w:p>
          <w:p w14:paraId="05A4674B" w14:textId="77777777" w:rsidR="008B175F" w:rsidRDefault="00DB583F">
            <w:pPr>
              <w:pStyle w:val="TableParagraph"/>
              <w:spacing w:line="176" w:lineRule="exact"/>
              <w:rPr>
                <w:sz w:val="17"/>
              </w:rPr>
            </w:pPr>
            <w:r w:rsidRPr="001B0987">
              <w:rPr>
                <w:sz w:val="18"/>
                <w:szCs w:val="24"/>
              </w:rPr>
              <w:t>envisaged to take place</w:t>
            </w:r>
          </w:p>
        </w:tc>
        <w:tc>
          <w:tcPr>
            <w:tcW w:w="7654" w:type="dxa"/>
          </w:tcPr>
          <w:p w14:paraId="0F1B67CA" w14:textId="77777777" w:rsidR="008B175F" w:rsidRDefault="00595132">
            <w:pPr>
              <w:pStyle w:val="TableParagraph"/>
              <w:spacing w:before="5"/>
              <w:ind w:left="99"/>
              <w:rPr>
                <w:sz w:val="20"/>
              </w:rPr>
            </w:pPr>
            <w:r>
              <w:rPr>
                <w:sz w:val="20"/>
              </w:rPr>
              <w:t xml:space="preserve">Republic of </w:t>
            </w:r>
            <w:r w:rsidR="00D773F4">
              <w:rPr>
                <w:sz w:val="20"/>
              </w:rPr>
              <w:t>Bulgaria</w:t>
            </w:r>
          </w:p>
        </w:tc>
      </w:tr>
      <w:tr w:rsidR="008B175F" w14:paraId="4A19CF36" w14:textId="77777777" w:rsidTr="00090239">
        <w:trPr>
          <w:trHeight w:val="983"/>
        </w:trPr>
        <w:tc>
          <w:tcPr>
            <w:tcW w:w="2836" w:type="dxa"/>
          </w:tcPr>
          <w:p w14:paraId="4B56BE86" w14:textId="77777777" w:rsidR="008B175F" w:rsidRPr="001B0987" w:rsidRDefault="00DB583F">
            <w:pPr>
              <w:pStyle w:val="TableParagraph"/>
              <w:spacing w:before="5" w:line="242" w:lineRule="auto"/>
              <w:ind w:right="125"/>
              <w:rPr>
                <w:sz w:val="18"/>
                <w:szCs w:val="18"/>
              </w:rPr>
            </w:pPr>
            <w:r w:rsidRPr="001B0987">
              <w:t>Affected Party or Parties (States),</w:t>
            </w:r>
            <w:r w:rsidRPr="001B0987">
              <w:rPr>
                <w:sz w:val="18"/>
                <w:szCs w:val="18"/>
              </w:rPr>
              <w:t xml:space="preserve"> likely to be affected by the transboundary impact of</w:t>
            </w:r>
          </w:p>
          <w:p w14:paraId="59D7FEDC" w14:textId="77777777" w:rsidR="008B175F" w:rsidRDefault="00DB583F">
            <w:pPr>
              <w:pStyle w:val="TableParagraph"/>
              <w:spacing w:line="174" w:lineRule="exact"/>
              <w:rPr>
                <w:sz w:val="17"/>
              </w:rPr>
            </w:pPr>
            <w:r w:rsidRPr="001B0987">
              <w:rPr>
                <w:sz w:val="18"/>
                <w:szCs w:val="18"/>
              </w:rPr>
              <w:t>a proposed activity</w:t>
            </w:r>
          </w:p>
        </w:tc>
        <w:tc>
          <w:tcPr>
            <w:tcW w:w="7654" w:type="dxa"/>
          </w:tcPr>
          <w:p w14:paraId="4E591224" w14:textId="77777777" w:rsidR="008B175F" w:rsidRDefault="005751B1">
            <w:pPr>
              <w:pStyle w:val="TableParagraph"/>
              <w:spacing w:before="5"/>
              <w:ind w:left="98"/>
              <w:rPr>
                <w:sz w:val="20"/>
              </w:rPr>
            </w:pPr>
            <w:r>
              <w:rPr>
                <w:sz w:val="20"/>
              </w:rPr>
              <w:t>Republic of Greece</w:t>
            </w:r>
            <w:r w:rsidR="00F71B54">
              <w:rPr>
                <w:sz w:val="20"/>
              </w:rPr>
              <w:t xml:space="preserve"> </w:t>
            </w:r>
          </w:p>
        </w:tc>
      </w:tr>
      <w:tr w:rsidR="008B175F" w14:paraId="630F7EB4" w14:textId="77777777" w:rsidTr="00D824B7">
        <w:trPr>
          <w:trHeight w:val="659"/>
        </w:trPr>
        <w:tc>
          <w:tcPr>
            <w:tcW w:w="2836" w:type="dxa"/>
          </w:tcPr>
          <w:p w14:paraId="5B2F262E" w14:textId="77777777" w:rsidR="008B175F" w:rsidRDefault="00DB583F" w:rsidP="001B0987">
            <w:pPr>
              <w:pStyle w:val="TableParagraph"/>
              <w:rPr>
                <w:sz w:val="17"/>
              </w:rPr>
            </w:pPr>
            <w:r w:rsidRPr="001B0987">
              <w:t>Activity (project),</w:t>
            </w:r>
            <w:r>
              <w:rPr>
                <w:sz w:val="17"/>
              </w:rPr>
              <w:t xml:space="preserve"> </w:t>
            </w:r>
            <w:r w:rsidRPr="001B0987">
              <w:rPr>
                <w:sz w:val="18"/>
                <w:szCs w:val="18"/>
              </w:rPr>
              <w:t>identified in the list of activities in Appendix I to the Convention</w:t>
            </w:r>
          </w:p>
        </w:tc>
        <w:tc>
          <w:tcPr>
            <w:tcW w:w="7654" w:type="dxa"/>
          </w:tcPr>
          <w:p w14:paraId="3AD88B34" w14:textId="77777777" w:rsidR="004631A8" w:rsidRDefault="000C1DC0" w:rsidP="00D773F4">
            <w:pPr>
              <w:pStyle w:val="TableParagraph"/>
              <w:spacing w:line="208" w:lineRule="exact"/>
              <w:ind w:left="98"/>
              <w:rPr>
                <w:b/>
                <w:sz w:val="20"/>
              </w:rPr>
            </w:pPr>
            <w:r>
              <w:rPr>
                <w:b/>
                <w:sz w:val="20"/>
              </w:rPr>
              <w:t>1</w:t>
            </w:r>
            <w:r w:rsidR="00356193">
              <w:rPr>
                <w:b/>
                <w:sz w:val="20"/>
              </w:rPr>
              <w:t xml:space="preserve"> </w:t>
            </w:r>
            <w:r>
              <w:rPr>
                <w:b/>
                <w:sz w:val="20"/>
              </w:rPr>
              <w:t>.</w:t>
            </w:r>
            <w:r w:rsidR="004631A8">
              <w:rPr>
                <w:b/>
                <w:sz w:val="20"/>
              </w:rPr>
              <w:t xml:space="preserve">The Ada tepe gold mine </w:t>
            </w:r>
            <w:r w:rsidR="004631A8">
              <w:rPr>
                <w:sz w:val="20"/>
              </w:rPr>
              <w:t>in operation sin</w:t>
            </w:r>
            <w:r w:rsidR="00356193">
              <w:rPr>
                <w:sz w:val="20"/>
              </w:rPr>
              <w:t>ce 2019</w:t>
            </w:r>
            <w:r w:rsidR="004631A8">
              <w:rPr>
                <w:sz w:val="20"/>
              </w:rPr>
              <w:t xml:space="preserve"> </w:t>
            </w:r>
            <w:r>
              <w:rPr>
                <w:b/>
                <w:sz w:val="20"/>
              </w:rPr>
              <w:t xml:space="preserve"> </w:t>
            </w:r>
          </w:p>
          <w:p w14:paraId="2061113A" w14:textId="77777777" w:rsidR="008B175F" w:rsidRDefault="004631A8" w:rsidP="00D773F4">
            <w:pPr>
              <w:pStyle w:val="TableParagraph"/>
              <w:spacing w:line="208" w:lineRule="exact"/>
              <w:ind w:left="98"/>
              <w:rPr>
                <w:sz w:val="20"/>
              </w:rPr>
            </w:pPr>
            <w:r>
              <w:rPr>
                <w:b/>
                <w:sz w:val="20"/>
              </w:rPr>
              <w:t>2.</w:t>
            </w:r>
            <w:r w:rsidR="00356193">
              <w:rPr>
                <w:b/>
                <w:sz w:val="20"/>
              </w:rPr>
              <w:t xml:space="preserve"> </w:t>
            </w:r>
            <w:r w:rsidR="000C1DC0">
              <w:rPr>
                <w:b/>
                <w:sz w:val="20"/>
              </w:rPr>
              <w:t>Gold</w:t>
            </w:r>
            <w:r w:rsidR="00595132">
              <w:rPr>
                <w:b/>
                <w:sz w:val="20"/>
              </w:rPr>
              <w:t xml:space="preserve"> mine "</w:t>
            </w:r>
            <w:r w:rsidR="00D773F4">
              <w:rPr>
                <w:b/>
                <w:sz w:val="20"/>
              </w:rPr>
              <w:t>Tintyava</w:t>
            </w:r>
            <w:r w:rsidR="002F6E38" w:rsidRPr="00573732">
              <w:rPr>
                <w:b/>
                <w:sz w:val="20"/>
              </w:rPr>
              <w:t>"</w:t>
            </w:r>
            <w:r w:rsidR="00F76138" w:rsidRPr="00F76138">
              <w:rPr>
                <w:sz w:val="20"/>
              </w:rPr>
              <w:t xml:space="preserve"> </w:t>
            </w:r>
            <w:r>
              <w:rPr>
                <w:sz w:val="20"/>
              </w:rPr>
              <w:t xml:space="preserve">which will be </w:t>
            </w:r>
            <w:r w:rsidR="00E37EBE">
              <w:rPr>
                <w:sz w:val="20"/>
              </w:rPr>
              <w:t>developed at</w:t>
            </w:r>
            <w:r w:rsidR="00D773F4">
              <w:rPr>
                <w:sz w:val="20"/>
              </w:rPr>
              <w:t xml:space="preserve"> the villages of Rozino and Gugutka</w:t>
            </w:r>
            <w:r w:rsidR="002F6E38" w:rsidRPr="00F76138">
              <w:rPr>
                <w:sz w:val="20"/>
              </w:rPr>
              <w:t>,</w:t>
            </w:r>
            <w:r w:rsidR="002F6E38">
              <w:rPr>
                <w:sz w:val="20"/>
              </w:rPr>
              <w:t xml:space="preserve"> </w:t>
            </w:r>
            <w:r w:rsidR="00D773F4">
              <w:rPr>
                <w:sz w:val="20"/>
              </w:rPr>
              <w:t>Ivaylovgrad</w:t>
            </w:r>
            <w:r w:rsidR="002F6E38">
              <w:rPr>
                <w:sz w:val="20"/>
              </w:rPr>
              <w:t xml:space="preserve"> Municipality</w:t>
            </w:r>
            <w:r w:rsidR="00595132">
              <w:rPr>
                <w:sz w:val="20"/>
              </w:rPr>
              <w:t xml:space="preserve"> in </w:t>
            </w:r>
            <w:r w:rsidR="00D773F4">
              <w:rPr>
                <w:sz w:val="20"/>
              </w:rPr>
              <w:t>Bulgaria</w:t>
            </w:r>
            <w:r w:rsidR="002F6E38">
              <w:rPr>
                <w:sz w:val="20"/>
              </w:rPr>
              <w:t xml:space="preserve">, </w:t>
            </w:r>
            <w:r w:rsidR="00E37EBE">
              <w:rPr>
                <w:sz w:val="20"/>
              </w:rPr>
              <w:t>close</w:t>
            </w:r>
            <w:r w:rsidR="002F6E38">
              <w:rPr>
                <w:sz w:val="20"/>
              </w:rPr>
              <w:t xml:space="preserve"> </w:t>
            </w:r>
            <w:r w:rsidR="00E37EBE">
              <w:rPr>
                <w:sz w:val="20"/>
              </w:rPr>
              <w:t xml:space="preserve">to </w:t>
            </w:r>
            <w:r w:rsidR="002F6E38">
              <w:rPr>
                <w:sz w:val="20"/>
              </w:rPr>
              <w:t xml:space="preserve">the border between Bulgaria and </w:t>
            </w:r>
            <w:r w:rsidR="00D773F4">
              <w:rPr>
                <w:sz w:val="20"/>
              </w:rPr>
              <w:t>Greece</w:t>
            </w:r>
            <w:r w:rsidR="005751B1">
              <w:rPr>
                <w:sz w:val="20"/>
              </w:rPr>
              <w:t xml:space="preserve"> </w:t>
            </w:r>
          </w:p>
          <w:p w14:paraId="46DE8E8D" w14:textId="77777777" w:rsidR="00D773F4" w:rsidRDefault="004631A8" w:rsidP="00D773F4">
            <w:pPr>
              <w:pStyle w:val="TableParagraph"/>
              <w:spacing w:line="208" w:lineRule="exact"/>
              <w:ind w:left="98"/>
              <w:rPr>
                <w:sz w:val="20"/>
              </w:rPr>
            </w:pPr>
            <w:r>
              <w:rPr>
                <w:b/>
                <w:sz w:val="20"/>
              </w:rPr>
              <w:t>3</w:t>
            </w:r>
            <w:r w:rsidR="00D773F4" w:rsidRPr="00ED459B">
              <w:rPr>
                <w:b/>
                <w:sz w:val="20"/>
              </w:rPr>
              <w:t>. The forthcoming</w:t>
            </w:r>
            <w:r w:rsidR="00ED459B">
              <w:rPr>
                <w:b/>
                <w:sz w:val="20"/>
              </w:rPr>
              <w:t xml:space="preserve"> wild</w:t>
            </w:r>
            <w:r w:rsidR="00D773F4" w:rsidRPr="00ED459B">
              <w:rPr>
                <w:b/>
                <w:sz w:val="20"/>
              </w:rPr>
              <w:t xml:space="preserve"> mining tsunami</w:t>
            </w:r>
            <w:r w:rsidR="00D773F4">
              <w:rPr>
                <w:sz w:val="20"/>
              </w:rPr>
              <w:t xml:space="preserve"> in the Ivaylovgrad and Krumovgrad Municipalities in Bulgaria</w:t>
            </w:r>
          </w:p>
        </w:tc>
      </w:tr>
      <w:tr w:rsidR="008B175F" w14:paraId="15790F5C" w14:textId="77777777" w:rsidTr="00D824B7">
        <w:trPr>
          <w:trHeight w:val="839"/>
        </w:trPr>
        <w:tc>
          <w:tcPr>
            <w:tcW w:w="2836" w:type="dxa"/>
          </w:tcPr>
          <w:p w14:paraId="647CA42B" w14:textId="77777777" w:rsidR="008B175F" w:rsidRDefault="00DB583F" w:rsidP="001B0987">
            <w:pPr>
              <w:pStyle w:val="TableParagraph"/>
              <w:rPr>
                <w:sz w:val="20"/>
              </w:rPr>
            </w:pPr>
            <w:r w:rsidRPr="001B0987">
              <w:rPr>
                <w:w w:val="105"/>
              </w:rPr>
              <w:t>Likely significant adverse trans- boundary impact of the activity (project)</w:t>
            </w:r>
          </w:p>
        </w:tc>
        <w:tc>
          <w:tcPr>
            <w:tcW w:w="7654" w:type="dxa"/>
          </w:tcPr>
          <w:p w14:paraId="1CB2EB3A" w14:textId="77777777" w:rsidR="00D600EE" w:rsidRDefault="00F71B54" w:rsidP="00D600EE">
            <w:pPr>
              <w:pStyle w:val="TableParagraph"/>
              <w:spacing w:line="238" w:lineRule="exact"/>
              <w:ind w:left="99" w:right="156"/>
              <w:rPr>
                <w:sz w:val="20"/>
              </w:rPr>
            </w:pPr>
            <w:r>
              <w:rPr>
                <w:sz w:val="20"/>
              </w:rPr>
              <w:t>P</w:t>
            </w:r>
            <w:r w:rsidR="002F6E38">
              <w:rPr>
                <w:sz w:val="20"/>
              </w:rPr>
              <w:t xml:space="preserve">oisoning of the </w:t>
            </w:r>
            <w:r w:rsidR="00D773F4">
              <w:rPr>
                <w:sz w:val="20"/>
              </w:rPr>
              <w:t>transboundary Byala reka</w:t>
            </w:r>
            <w:r w:rsidR="009E1F19">
              <w:rPr>
                <w:sz w:val="20"/>
              </w:rPr>
              <w:t xml:space="preserve"> </w:t>
            </w:r>
            <w:r w:rsidR="00D773F4">
              <w:rPr>
                <w:sz w:val="20"/>
              </w:rPr>
              <w:t xml:space="preserve">and Arda </w:t>
            </w:r>
            <w:r w:rsidR="009E1F19">
              <w:rPr>
                <w:sz w:val="20"/>
              </w:rPr>
              <w:t>River</w:t>
            </w:r>
            <w:r w:rsidR="00D773F4">
              <w:rPr>
                <w:sz w:val="20"/>
              </w:rPr>
              <w:t>s</w:t>
            </w:r>
            <w:r w:rsidR="00F36BFA">
              <w:rPr>
                <w:sz w:val="20"/>
              </w:rPr>
              <w:t>,</w:t>
            </w:r>
            <w:r w:rsidR="00D773F4">
              <w:rPr>
                <w:sz w:val="20"/>
              </w:rPr>
              <w:t xml:space="preserve"> and their</w:t>
            </w:r>
            <w:r w:rsidR="009E1F19">
              <w:rPr>
                <w:sz w:val="20"/>
              </w:rPr>
              <w:t xml:space="preserve"> tributaries</w:t>
            </w:r>
            <w:r w:rsidR="00D773F4">
              <w:rPr>
                <w:sz w:val="20"/>
              </w:rPr>
              <w:t xml:space="preserve"> /especially</w:t>
            </w:r>
            <w:r w:rsidR="00D600EE">
              <w:rPr>
                <w:sz w:val="20"/>
              </w:rPr>
              <w:t xml:space="preserve"> the tributary to Arda -</w:t>
            </w:r>
            <w:r w:rsidR="00D773F4">
              <w:rPr>
                <w:sz w:val="20"/>
              </w:rPr>
              <w:t xml:space="preserve"> Krumovitsa River/</w:t>
            </w:r>
            <w:r w:rsidR="002F6E38">
              <w:rPr>
                <w:sz w:val="20"/>
              </w:rPr>
              <w:t xml:space="preserve"> in the region </w:t>
            </w:r>
            <w:r w:rsidR="00D773F4">
              <w:rPr>
                <w:sz w:val="20"/>
              </w:rPr>
              <w:t>of Eastern Rhodope Mountain</w:t>
            </w:r>
            <w:r w:rsidR="00D662AA">
              <w:rPr>
                <w:sz w:val="20"/>
              </w:rPr>
              <w:t>, and</w:t>
            </w:r>
            <w:r w:rsidR="00F36BFA">
              <w:rPr>
                <w:sz w:val="20"/>
              </w:rPr>
              <w:t xml:space="preserve"> the</w:t>
            </w:r>
            <w:r w:rsidR="002F6E38">
              <w:rPr>
                <w:sz w:val="20"/>
              </w:rPr>
              <w:t xml:space="preserve"> </w:t>
            </w:r>
            <w:r w:rsidR="001445DC">
              <w:rPr>
                <w:sz w:val="20"/>
              </w:rPr>
              <w:t>forthcom</w:t>
            </w:r>
            <w:r w:rsidR="002F6E38">
              <w:rPr>
                <w:sz w:val="20"/>
              </w:rPr>
              <w:t xml:space="preserve">ing pollution of </w:t>
            </w:r>
            <w:r w:rsidR="00D773F4">
              <w:rPr>
                <w:sz w:val="20"/>
              </w:rPr>
              <w:t>the transboundary Maritsa</w:t>
            </w:r>
            <w:r w:rsidR="002F6E38">
              <w:rPr>
                <w:sz w:val="20"/>
              </w:rPr>
              <w:t xml:space="preserve"> River</w:t>
            </w:r>
            <w:r w:rsidR="00D600EE">
              <w:rPr>
                <w:sz w:val="20"/>
              </w:rPr>
              <w:t xml:space="preserve">. </w:t>
            </w:r>
            <w:r w:rsidR="00232FFF">
              <w:rPr>
                <w:sz w:val="20"/>
              </w:rPr>
              <w:t>Pollution of the transboundary groundwater body in the area concerned.</w:t>
            </w:r>
          </w:p>
          <w:p w14:paraId="16F6CF3D" w14:textId="77777777" w:rsidR="008B175F" w:rsidRDefault="00D600EE" w:rsidP="00ED459B">
            <w:pPr>
              <w:pStyle w:val="TableParagraph"/>
              <w:spacing w:line="238" w:lineRule="exact"/>
              <w:ind w:left="99" w:right="156"/>
              <w:rPr>
                <w:sz w:val="20"/>
              </w:rPr>
            </w:pPr>
            <w:r>
              <w:rPr>
                <w:sz w:val="20"/>
              </w:rPr>
              <w:t xml:space="preserve">Byala reka River and Krumovitsa - Arda </w:t>
            </w:r>
            <w:r w:rsidR="00F36BFA">
              <w:rPr>
                <w:sz w:val="20"/>
              </w:rPr>
              <w:t>Rivers are</w:t>
            </w:r>
            <w:r w:rsidR="001445DC">
              <w:rPr>
                <w:sz w:val="20"/>
              </w:rPr>
              <w:t xml:space="preserve"> running in Bulgaria</w:t>
            </w:r>
            <w:r w:rsidR="009E1F19">
              <w:rPr>
                <w:sz w:val="20"/>
              </w:rPr>
              <w:t xml:space="preserve"> </w:t>
            </w:r>
            <w:r w:rsidR="00C77FB3">
              <w:rPr>
                <w:sz w:val="20"/>
              </w:rPr>
              <w:t>through</w:t>
            </w:r>
            <w:r w:rsidR="001445DC">
              <w:rPr>
                <w:sz w:val="20"/>
              </w:rPr>
              <w:t xml:space="preserve"> Natura 2000 Habitats Directive Site </w:t>
            </w:r>
            <w:r>
              <w:rPr>
                <w:sz w:val="20"/>
              </w:rPr>
              <w:t xml:space="preserve">" Rodopi - Iztochni" </w:t>
            </w:r>
            <w:r>
              <w:rPr>
                <w:sz w:val="20"/>
                <w:szCs w:val="20"/>
                <w:shd w:val="clear" w:color="auto" w:fill="FFFFFF"/>
              </w:rPr>
              <w:t>BG0001032</w:t>
            </w:r>
            <w:r w:rsidR="00F36BFA">
              <w:rPr>
                <w:sz w:val="20"/>
                <w:szCs w:val="20"/>
                <w:shd w:val="clear" w:color="auto" w:fill="FFFFFF"/>
              </w:rPr>
              <w:t>,</w:t>
            </w:r>
            <w:r>
              <w:rPr>
                <w:sz w:val="20"/>
              </w:rPr>
              <w:t xml:space="preserve"> and then they enter</w:t>
            </w:r>
            <w:r w:rsidR="00F36BFA">
              <w:rPr>
                <w:sz w:val="20"/>
              </w:rPr>
              <w:t xml:space="preserve"> Greece</w:t>
            </w:r>
            <w:r w:rsidR="0010194A">
              <w:rPr>
                <w:sz w:val="20"/>
              </w:rPr>
              <w:t xml:space="preserve"> to </w:t>
            </w:r>
            <w:r>
              <w:rPr>
                <w:sz w:val="20"/>
              </w:rPr>
              <w:t xml:space="preserve">flow into the Maritsa River </w:t>
            </w:r>
            <w:r w:rsidR="00ED459B">
              <w:rPr>
                <w:sz w:val="20"/>
              </w:rPr>
              <w:t>which marks the border between Turkey and Greece and</w:t>
            </w:r>
            <w:r>
              <w:rPr>
                <w:sz w:val="20"/>
              </w:rPr>
              <w:t xml:space="preserve"> </w:t>
            </w:r>
            <w:r w:rsidR="0010194A">
              <w:rPr>
                <w:sz w:val="20"/>
              </w:rPr>
              <w:t>reach</w:t>
            </w:r>
            <w:r w:rsidR="00ED459B">
              <w:rPr>
                <w:sz w:val="20"/>
              </w:rPr>
              <w:t xml:space="preserve">es the Greek </w:t>
            </w:r>
            <w:r w:rsidR="0010194A">
              <w:rPr>
                <w:sz w:val="20"/>
              </w:rPr>
              <w:t>National Park</w:t>
            </w:r>
            <w:r w:rsidR="00ED459B">
              <w:rPr>
                <w:sz w:val="20"/>
              </w:rPr>
              <w:t xml:space="preserve"> "Delta Evrou" at the Aegean Sea</w:t>
            </w:r>
          </w:p>
        </w:tc>
      </w:tr>
      <w:tr w:rsidR="001B0987" w14:paraId="5213CBF8" w14:textId="77777777" w:rsidTr="00D824B7">
        <w:trPr>
          <w:trHeight w:val="927"/>
        </w:trPr>
        <w:tc>
          <w:tcPr>
            <w:tcW w:w="2836" w:type="dxa"/>
          </w:tcPr>
          <w:p w14:paraId="604EF8BD" w14:textId="77777777" w:rsidR="001B0987" w:rsidRPr="001B0987" w:rsidRDefault="001B0987" w:rsidP="001B0987">
            <w:pPr>
              <w:pStyle w:val="TableParagraph"/>
              <w:spacing w:line="247" w:lineRule="auto"/>
              <w:rPr>
                <w:w w:val="105"/>
              </w:rPr>
            </w:pPr>
            <w:r w:rsidRPr="001B0987">
              <w:rPr>
                <w:w w:val="105"/>
              </w:rPr>
              <w:t>Provisions of the Convention</w:t>
            </w:r>
            <w:r>
              <w:rPr>
                <w:w w:val="105"/>
              </w:rPr>
              <w:t xml:space="preserve"> </w:t>
            </w:r>
            <w:r w:rsidRPr="001B0987">
              <w:rPr>
                <w:w w:val="105"/>
              </w:rPr>
              <w:t>(Articles)</w:t>
            </w:r>
          </w:p>
          <w:p w14:paraId="50A94CF7" w14:textId="77777777" w:rsidR="001B0987" w:rsidRPr="001B0987" w:rsidRDefault="001B0987" w:rsidP="001B0987">
            <w:pPr>
              <w:pStyle w:val="TableParagraph"/>
              <w:spacing w:line="247" w:lineRule="auto"/>
              <w:rPr>
                <w:w w:val="105"/>
                <w:sz w:val="18"/>
                <w:szCs w:val="18"/>
              </w:rPr>
            </w:pPr>
            <w:r w:rsidRPr="001B0987">
              <w:rPr>
                <w:w w:val="105"/>
                <w:sz w:val="18"/>
                <w:szCs w:val="18"/>
              </w:rPr>
              <w:t>Compliance with which is being contested</w:t>
            </w:r>
          </w:p>
        </w:tc>
        <w:tc>
          <w:tcPr>
            <w:tcW w:w="7654" w:type="dxa"/>
          </w:tcPr>
          <w:p w14:paraId="09FA8590" w14:textId="77777777" w:rsidR="004631A8" w:rsidRDefault="004631A8">
            <w:pPr>
              <w:pStyle w:val="TableParagraph"/>
              <w:spacing w:before="1" w:line="238" w:lineRule="exact"/>
              <w:ind w:left="99" w:right="156"/>
              <w:rPr>
                <w:b/>
                <w:sz w:val="20"/>
              </w:rPr>
            </w:pPr>
            <w:r>
              <w:rPr>
                <w:b/>
                <w:sz w:val="20"/>
              </w:rPr>
              <w:t xml:space="preserve">1. In the case of the "Ada tepe" gold mine the </w:t>
            </w:r>
            <w:r w:rsidRPr="00F46F85">
              <w:rPr>
                <w:b/>
                <w:sz w:val="20"/>
              </w:rPr>
              <w:t xml:space="preserve">Republic of </w:t>
            </w:r>
            <w:r>
              <w:rPr>
                <w:b/>
                <w:sz w:val="20"/>
              </w:rPr>
              <w:t>Bulgaria</w:t>
            </w:r>
            <w:r>
              <w:rPr>
                <w:sz w:val="20"/>
              </w:rPr>
              <w:t xml:space="preserve"> has breached Article</w:t>
            </w:r>
            <w:r w:rsidR="00356193">
              <w:rPr>
                <w:sz w:val="20"/>
              </w:rPr>
              <w:t>s</w:t>
            </w:r>
            <w:r>
              <w:rPr>
                <w:sz w:val="20"/>
              </w:rPr>
              <w:t xml:space="preserve"> </w:t>
            </w:r>
            <w:r w:rsidR="00356193">
              <w:rPr>
                <w:sz w:val="20"/>
              </w:rPr>
              <w:t>7and 8.</w:t>
            </w:r>
          </w:p>
          <w:p w14:paraId="6AE29304" w14:textId="77777777" w:rsidR="001B0987" w:rsidRDefault="004631A8">
            <w:pPr>
              <w:pStyle w:val="TableParagraph"/>
              <w:spacing w:before="1" w:line="238" w:lineRule="exact"/>
              <w:ind w:left="99" w:right="156"/>
              <w:rPr>
                <w:sz w:val="20"/>
              </w:rPr>
            </w:pPr>
            <w:r>
              <w:rPr>
                <w:b/>
                <w:sz w:val="20"/>
              </w:rPr>
              <w:t>2</w:t>
            </w:r>
            <w:r w:rsidR="00ED459B">
              <w:rPr>
                <w:b/>
                <w:sz w:val="20"/>
              </w:rPr>
              <w:t xml:space="preserve">. In the case of the </w:t>
            </w:r>
            <w:r w:rsidR="004C7D68">
              <w:rPr>
                <w:b/>
                <w:sz w:val="20"/>
              </w:rPr>
              <w:t>"</w:t>
            </w:r>
            <w:r w:rsidR="00ED459B">
              <w:rPr>
                <w:b/>
                <w:sz w:val="20"/>
              </w:rPr>
              <w:t>Tintyava</w:t>
            </w:r>
            <w:r w:rsidR="004C7D68">
              <w:rPr>
                <w:b/>
                <w:sz w:val="20"/>
              </w:rPr>
              <w:t>"</w:t>
            </w:r>
            <w:r w:rsidR="00ED459B">
              <w:rPr>
                <w:b/>
                <w:sz w:val="20"/>
              </w:rPr>
              <w:t xml:space="preserve"> gold mine t</w:t>
            </w:r>
            <w:r w:rsidR="00C77FB3">
              <w:rPr>
                <w:b/>
                <w:sz w:val="20"/>
              </w:rPr>
              <w:t xml:space="preserve">he </w:t>
            </w:r>
            <w:r w:rsidR="0087668C" w:rsidRPr="00F46F85">
              <w:rPr>
                <w:b/>
                <w:sz w:val="20"/>
              </w:rPr>
              <w:t xml:space="preserve">Republic of </w:t>
            </w:r>
            <w:r w:rsidR="00ED459B">
              <w:rPr>
                <w:b/>
                <w:sz w:val="20"/>
              </w:rPr>
              <w:t>Bulgaria</w:t>
            </w:r>
            <w:r w:rsidR="0087668C">
              <w:rPr>
                <w:sz w:val="20"/>
              </w:rPr>
              <w:t xml:space="preserve"> has breached </w:t>
            </w:r>
            <w:r w:rsidR="004C7D68">
              <w:rPr>
                <w:sz w:val="20"/>
              </w:rPr>
              <w:t>Article 2, paragraphs</w:t>
            </w:r>
            <w:r w:rsidR="00ED459B">
              <w:rPr>
                <w:sz w:val="20"/>
              </w:rPr>
              <w:t xml:space="preserve"> 6 </w:t>
            </w:r>
            <w:r w:rsidR="004C7D68">
              <w:rPr>
                <w:sz w:val="20"/>
              </w:rPr>
              <w:t>and 7, as well as article 3, paragraph 1</w:t>
            </w:r>
            <w:r w:rsidR="0087668C">
              <w:rPr>
                <w:sz w:val="20"/>
              </w:rPr>
              <w:t>.</w:t>
            </w:r>
          </w:p>
          <w:p w14:paraId="112EF904" w14:textId="77777777" w:rsidR="0087668C" w:rsidRDefault="004631A8" w:rsidP="004C7D68">
            <w:pPr>
              <w:pStyle w:val="TableParagraph"/>
              <w:spacing w:before="1" w:line="238" w:lineRule="exact"/>
              <w:ind w:left="99" w:right="156"/>
              <w:rPr>
                <w:sz w:val="20"/>
              </w:rPr>
            </w:pPr>
            <w:r>
              <w:rPr>
                <w:b/>
                <w:sz w:val="20"/>
              </w:rPr>
              <w:t>3</w:t>
            </w:r>
            <w:r w:rsidR="00ED459B">
              <w:rPr>
                <w:b/>
                <w:sz w:val="20"/>
              </w:rPr>
              <w:t xml:space="preserve">. For the case of the mining tsunami in Ivaylovgrad and Kruumovgrad municipalities the </w:t>
            </w:r>
            <w:r w:rsidR="00ED459B" w:rsidRPr="00F46F85">
              <w:rPr>
                <w:b/>
                <w:sz w:val="20"/>
              </w:rPr>
              <w:t xml:space="preserve">Republic of </w:t>
            </w:r>
            <w:r w:rsidR="00ED459B">
              <w:rPr>
                <w:b/>
                <w:sz w:val="20"/>
              </w:rPr>
              <w:t>Bulgaria</w:t>
            </w:r>
            <w:r w:rsidR="00ED459B">
              <w:rPr>
                <w:sz w:val="20"/>
              </w:rPr>
              <w:t xml:space="preserve"> has breached </w:t>
            </w:r>
            <w:r w:rsidR="004C7D68">
              <w:rPr>
                <w:sz w:val="20"/>
              </w:rPr>
              <w:t>Article 2, paragraph 7</w:t>
            </w:r>
            <w:r w:rsidR="00ED459B">
              <w:rPr>
                <w:sz w:val="20"/>
              </w:rPr>
              <w:t>.</w:t>
            </w:r>
          </w:p>
        </w:tc>
      </w:tr>
      <w:tr w:rsidR="001B0987" w14:paraId="7B2A2217" w14:textId="77777777" w:rsidTr="00D824B7">
        <w:trPr>
          <w:trHeight w:val="1715"/>
        </w:trPr>
        <w:tc>
          <w:tcPr>
            <w:tcW w:w="2836" w:type="dxa"/>
          </w:tcPr>
          <w:p w14:paraId="5C84C7CD" w14:textId="77777777" w:rsidR="001B0987" w:rsidRPr="001B0987" w:rsidRDefault="001B0987">
            <w:pPr>
              <w:pStyle w:val="TableParagraph"/>
              <w:spacing w:before="6" w:line="247" w:lineRule="auto"/>
              <w:rPr>
                <w:w w:val="105"/>
              </w:rPr>
            </w:pPr>
            <w:r w:rsidRPr="001B0987">
              <w:rPr>
                <w:w w:val="105"/>
              </w:rPr>
              <w:lastRenderedPageBreak/>
              <w:t xml:space="preserve">Description of issue </w:t>
            </w:r>
          </w:p>
          <w:p w14:paraId="6CF1F416" w14:textId="77777777" w:rsidR="001B0987" w:rsidRPr="001B0987" w:rsidRDefault="001B0987" w:rsidP="001B0987">
            <w:pPr>
              <w:pStyle w:val="TableParagraph"/>
              <w:spacing w:before="6" w:line="247" w:lineRule="auto"/>
              <w:rPr>
                <w:w w:val="105"/>
              </w:rPr>
            </w:pPr>
            <w:r w:rsidRPr="001B0987">
              <w:rPr>
                <w:w w:val="105"/>
              </w:rPr>
              <w:t>-</w:t>
            </w:r>
            <w:r>
              <w:rPr>
                <w:w w:val="105"/>
              </w:rPr>
              <w:t xml:space="preserve"> </w:t>
            </w:r>
            <w:r w:rsidRPr="001B0987">
              <w:rPr>
                <w:w w:val="105"/>
              </w:rPr>
              <w:t>please attach supporting information</w:t>
            </w:r>
          </w:p>
          <w:p w14:paraId="192DF06C" w14:textId="77777777" w:rsidR="001B0987" w:rsidRDefault="001B0987">
            <w:pPr>
              <w:pStyle w:val="TableParagraph"/>
              <w:spacing w:before="6" w:line="247" w:lineRule="auto"/>
              <w:rPr>
                <w:w w:val="105"/>
                <w:sz w:val="20"/>
              </w:rPr>
            </w:pPr>
          </w:p>
        </w:tc>
        <w:tc>
          <w:tcPr>
            <w:tcW w:w="7654" w:type="dxa"/>
          </w:tcPr>
          <w:p w14:paraId="126D1F9A" w14:textId="77777777" w:rsidR="00356193" w:rsidRDefault="00356193">
            <w:pPr>
              <w:pStyle w:val="TableParagraph"/>
              <w:spacing w:before="1" w:line="238" w:lineRule="exact"/>
              <w:ind w:left="99" w:right="156"/>
              <w:rPr>
                <w:sz w:val="20"/>
              </w:rPr>
            </w:pPr>
            <w:r>
              <w:rPr>
                <w:b/>
                <w:sz w:val="20"/>
              </w:rPr>
              <w:t>1. The Ada tepe gold mine.</w:t>
            </w:r>
            <w:r>
              <w:rPr>
                <w:sz w:val="20"/>
              </w:rPr>
              <w:t xml:space="preserve"> I</w:t>
            </w:r>
            <w:r w:rsidRPr="00356193">
              <w:rPr>
                <w:sz w:val="20"/>
              </w:rPr>
              <w:t xml:space="preserve">n operation since </w:t>
            </w:r>
            <w:r>
              <w:rPr>
                <w:sz w:val="20"/>
              </w:rPr>
              <w:t>August 2019 the mine has been caught by the local authorities that waste waters were dumped directly into Krumovitsa River and the affected party Greece was not informed in breach of the terms in the letter of agreement.</w:t>
            </w:r>
          </w:p>
          <w:p w14:paraId="7F620B8B" w14:textId="77777777" w:rsidR="00356193" w:rsidRDefault="00356193">
            <w:pPr>
              <w:pStyle w:val="TableParagraph"/>
              <w:spacing w:before="1" w:line="238" w:lineRule="exact"/>
              <w:ind w:left="99" w:right="156"/>
              <w:rPr>
                <w:b/>
                <w:sz w:val="20"/>
              </w:rPr>
            </w:pPr>
            <w:r>
              <w:rPr>
                <w:sz w:val="20"/>
              </w:rPr>
              <w:t xml:space="preserve">  </w:t>
            </w:r>
          </w:p>
          <w:p w14:paraId="6F61C0F7" w14:textId="77777777" w:rsidR="000E4C59" w:rsidRDefault="004631A8">
            <w:pPr>
              <w:pStyle w:val="TableParagraph"/>
              <w:spacing w:before="1" w:line="238" w:lineRule="exact"/>
              <w:ind w:left="99" w:right="156"/>
              <w:rPr>
                <w:sz w:val="20"/>
              </w:rPr>
            </w:pPr>
            <w:r>
              <w:rPr>
                <w:b/>
                <w:sz w:val="20"/>
              </w:rPr>
              <w:t>2</w:t>
            </w:r>
            <w:r w:rsidR="004C7D68" w:rsidRPr="00546FA2">
              <w:rPr>
                <w:b/>
                <w:sz w:val="20"/>
              </w:rPr>
              <w:t xml:space="preserve">. </w:t>
            </w:r>
            <w:r w:rsidR="00546FA2" w:rsidRPr="00546FA2">
              <w:rPr>
                <w:b/>
                <w:sz w:val="20"/>
              </w:rPr>
              <w:t>The</w:t>
            </w:r>
            <w:r w:rsidR="00356193">
              <w:rPr>
                <w:b/>
                <w:sz w:val="20"/>
              </w:rPr>
              <w:t xml:space="preserve"> forthcoming </w:t>
            </w:r>
            <w:r w:rsidR="00546FA2" w:rsidRPr="00546FA2">
              <w:rPr>
                <w:b/>
                <w:sz w:val="20"/>
              </w:rPr>
              <w:t xml:space="preserve"> "Tintyava" gold mine project</w:t>
            </w:r>
            <w:r w:rsidR="00546FA2">
              <w:rPr>
                <w:sz w:val="20"/>
              </w:rPr>
              <w:t xml:space="preserve"> </w:t>
            </w:r>
          </w:p>
          <w:p w14:paraId="1434AC1C" w14:textId="77777777" w:rsidR="000E4C59" w:rsidRDefault="000E4C59" w:rsidP="000E4C59">
            <w:pPr>
              <w:pStyle w:val="TableParagraph"/>
              <w:spacing w:before="1" w:line="238" w:lineRule="exact"/>
              <w:ind w:left="99" w:right="156"/>
              <w:rPr>
                <w:sz w:val="20"/>
              </w:rPr>
            </w:pPr>
            <w:r>
              <w:rPr>
                <w:sz w:val="20"/>
              </w:rPr>
              <w:t>The ore mining and processing will include open pit extraction, crushing and flotation for the preparation of metal concentrate, which will be taken to an unknown destination/factory for final extraction of the metals.</w:t>
            </w:r>
          </w:p>
          <w:p w14:paraId="43BB62B2" w14:textId="77777777" w:rsidR="005F3520" w:rsidRDefault="000E4C59">
            <w:pPr>
              <w:pStyle w:val="TableParagraph"/>
              <w:spacing w:before="1" w:line="238" w:lineRule="exact"/>
              <w:ind w:left="99" w:right="156"/>
              <w:rPr>
                <w:sz w:val="20"/>
              </w:rPr>
            </w:pPr>
            <w:r>
              <w:rPr>
                <w:sz w:val="20"/>
              </w:rPr>
              <w:t xml:space="preserve">The project </w:t>
            </w:r>
            <w:r w:rsidR="00546FA2">
              <w:rPr>
                <w:sz w:val="20"/>
              </w:rPr>
              <w:t xml:space="preserve">is at the stage of </w:t>
            </w:r>
            <w:r w:rsidR="00A22BFE">
              <w:rPr>
                <w:sz w:val="20"/>
              </w:rPr>
              <w:t xml:space="preserve">a </w:t>
            </w:r>
            <w:r w:rsidR="00E37EBE">
              <w:rPr>
                <w:sz w:val="20"/>
              </w:rPr>
              <w:t>screening decision by</w:t>
            </w:r>
            <w:r w:rsidR="00546FA2">
              <w:rPr>
                <w:sz w:val="20"/>
              </w:rPr>
              <w:t xml:space="preserve"> the Bulgarian "competent" Regional Inspectorate of Environment and Waters</w:t>
            </w:r>
            <w:r w:rsidR="005F3520">
              <w:rPr>
                <w:sz w:val="20"/>
              </w:rPr>
              <w:t xml:space="preserve"> /RIEW/</w:t>
            </w:r>
            <w:r w:rsidR="00C42295">
              <w:rPr>
                <w:sz w:val="20"/>
              </w:rPr>
              <w:t xml:space="preserve"> "Haskovo" completed</w:t>
            </w:r>
            <w:r w:rsidR="00546FA2">
              <w:rPr>
                <w:sz w:val="20"/>
              </w:rPr>
              <w:t xml:space="preserve"> and shared with the investor.</w:t>
            </w:r>
            <w:r w:rsidR="005F3520">
              <w:rPr>
                <w:sz w:val="20"/>
              </w:rPr>
              <w:t xml:space="preserve"> </w:t>
            </w:r>
            <w:r w:rsidR="00835A05">
              <w:rPr>
                <w:sz w:val="20"/>
              </w:rPr>
              <w:t>The East Ae</w:t>
            </w:r>
            <w:r w:rsidR="00546FA2">
              <w:rPr>
                <w:sz w:val="20"/>
              </w:rPr>
              <w:t>gean River Basin Directorate</w:t>
            </w:r>
            <w:r w:rsidR="005F3520">
              <w:rPr>
                <w:sz w:val="20"/>
              </w:rPr>
              <w:t xml:space="preserve"> /EARBD/</w:t>
            </w:r>
            <w:r w:rsidR="00546FA2">
              <w:rPr>
                <w:sz w:val="20"/>
              </w:rPr>
              <w:t xml:space="preserve"> has announced the project permissible acc. to the RBMP</w:t>
            </w:r>
            <w:r w:rsidR="005F3520">
              <w:rPr>
                <w:sz w:val="20"/>
              </w:rPr>
              <w:t xml:space="preserve"> as well</w:t>
            </w:r>
            <w:r w:rsidR="00546FA2">
              <w:rPr>
                <w:sz w:val="20"/>
              </w:rPr>
              <w:t xml:space="preserve">. </w:t>
            </w:r>
          </w:p>
          <w:p w14:paraId="06C62D2B" w14:textId="77777777" w:rsidR="00835A05" w:rsidRDefault="00546FA2">
            <w:pPr>
              <w:pStyle w:val="TableParagraph"/>
              <w:spacing w:before="1" w:line="238" w:lineRule="exact"/>
              <w:ind w:left="99" w:right="156"/>
              <w:rPr>
                <w:sz w:val="20"/>
              </w:rPr>
            </w:pPr>
            <w:r>
              <w:rPr>
                <w:sz w:val="20"/>
              </w:rPr>
              <w:t xml:space="preserve">In the instructions </w:t>
            </w:r>
            <w:r w:rsidR="000E4C59">
              <w:rPr>
                <w:sz w:val="20"/>
              </w:rPr>
              <w:t xml:space="preserve">of the "competent" RIEW and EARBD </w:t>
            </w:r>
            <w:r>
              <w:rPr>
                <w:sz w:val="20"/>
              </w:rPr>
              <w:t>for the preparation of the future EIA and AA reports there is not a word about assessment of the potential tra</w:t>
            </w:r>
            <w:r w:rsidR="005F3520">
              <w:rPr>
                <w:sz w:val="20"/>
              </w:rPr>
              <w:t>nsboundary issues which will</w:t>
            </w:r>
            <w:r w:rsidR="00E37EBE">
              <w:rPr>
                <w:sz w:val="20"/>
              </w:rPr>
              <w:t xml:space="preserve"> inevitably</w:t>
            </w:r>
            <w:r w:rsidR="005F3520">
              <w:rPr>
                <w:sz w:val="20"/>
              </w:rPr>
              <w:t xml:space="preserve"> take place</w:t>
            </w:r>
            <w:r>
              <w:rPr>
                <w:sz w:val="20"/>
              </w:rPr>
              <w:t xml:space="preserve">. </w:t>
            </w:r>
          </w:p>
          <w:p w14:paraId="7BBF90AD" w14:textId="77777777" w:rsidR="005F3520" w:rsidRDefault="00546FA2">
            <w:pPr>
              <w:pStyle w:val="TableParagraph"/>
              <w:spacing w:before="1" w:line="238" w:lineRule="exact"/>
              <w:ind w:left="99" w:right="156"/>
              <w:rPr>
                <w:sz w:val="20"/>
              </w:rPr>
            </w:pPr>
            <w:r>
              <w:rPr>
                <w:sz w:val="20"/>
              </w:rPr>
              <w:t xml:space="preserve">Both the Surface Water Body  "Byala reka River" </w:t>
            </w:r>
            <w:r w:rsidR="00A22BFE">
              <w:rPr>
                <w:sz w:val="20"/>
              </w:rPr>
              <w:t>and the Groundwater B</w:t>
            </w:r>
            <w:r>
              <w:rPr>
                <w:sz w:val="20"/>
              </w:rPr>
              <w:t>ody in the area concerned are transboundary</w:t>
            </w:r>
            <w:r w:rsidR="005F3520">
              <w:rPr>
                <w:sz w:val="20"/>
              </w:rPr>
              <w:t xml:space="preserve"> an</w:t>
            </w:r>
            <w:r w:rsidR="00A22BFE">
              <w:rPr>
                <w:sz w:val="20"/>
              </w:rPr>
              <w:t>d there is not a word about this</w:t>
            </w:r>
            <w:r w:rsidR="005F3520">
              <w:rPr>
                <w:sz w:val="20"/>
              </w:rPr>
              <w:t xml:space="preserve"> issue</w:t>
            </w:r>
            <w:r w:rsidR="00A22BFE">
              <w:rPr>
                <w:sz w:val="20"/>
              </w:rPr>
              <w:t xml:space="preserve"> in the</w:t>
            </w:r>
            <w:r w:rsidR="005F3520">
              <w:rPr>
                <w:sz w:val="20"/>
              </w:rPr>
              <w:t xml:space="preserve"> papers of RIEW Haskovo and EARBD. </w:t>
            </w:r>
          </w:p>
          <w:p w14:paraId="7F1E36AD" w14:textId="77777777" w:rsidR="004C7D68" w:rsidRDefault="005F3520">
            <w:pPr>
              <w:pStyle w:val="TableParagraph"/>
              <w:spacing w:before="1" w:line="238" w:lineRule="exact"/>
              <w:ind w:left="99" w:right="156"/>
              <w:rPr>
                <w:sz w:val="20"/>
              </w:rPr>
            </w:pPr>
            <w:r>
              <w:rPr>
                <w:sz w:val="20"/>
              </w:rPr>
              <w:t>Furthermore, the project's description</w:t>
            </w:r>
            <w:r w:rsidR="00A22BFE">
              <w:rPr>
                <w:sz w:val="20"/>
              </w:rPr>
              <w:t xml:space="preserve"> in Bulgarian</w:t>
            </w:r>
            <w:r>
              <w:rPr>
                <w:sz w:val="20"/>
              </w:rPr>
              <w:t xml:space="preserve"> is available on the internet site of RIEW Haskovo and the Bulgarian public is informed all right, but</w:t>
            </w:r>
            <w:r w:rsidR="000C1DC0">
              <w:rPr>
                <w:sz w:val="20"/>
              </w:rPr>
              <w:t xml:space="preserve"> in </w:t>
            </w:r>
            <w:r w:rsidR="00CC3442">
              <w:rPr>
                <w:sz w:val="20"/>
              </w:rPr>
              <w:t>breach of</w:t>
            </w:r>
            <w:r w:rsidR="00735468">
              <w:rPr>
                <w:sz w:val="20"/>
              </w:rPr>
              <w:t xml:space="preserve"> article 3, para 1</w:t>
            </w:r>
            <w:r>
              <w:rPr>
                <w:sz w:val="20"/>
              </w:rPr>
              <w:t xml:space="preserve"> the Greek party and the affected Greek population </w:t>
            </w:r>
            <w:r w:rsidR="00CC3442">
              <w:rPr>
                <w:sz w:val="20"/>
              </w:rPr>
              <w:t>are not</w:t>
            </w:r>
            <w:r>
              <w:rPr>
                <w:sz w:val="20"/>
              </w:rPr>
              <w:t xml:space="preserve"> informed </w:t>
            </w:r>
            <w:r w:rsidR="00735468">
              <w:rPr>
                <w:sz w:val="20"/>
                <w:u w:val="single"/>
              </w:rPr>
              <w:t>as early as</w:t>
            </w:r>
            <w:r w:rsidRPr="00835A05">
              <w:rPr>
                <w:sz w:val="20"/>
                <w:u w:val="single"/>
              </w:rPr>
              <w:t xml:space="preserve"> possible</w:t>
            </w:r>
            <w:r w:rsidR="00735468">
              <w:rPr>
                <w:sz w:val="20"/>
              </w:rPr>
              <w:t xml:space="preserve"> </w:t>
            </w:r>
            <w:r w:rsidR="00CC3442">
              <w:rPr>
                <w:sz w:val="20"/>
              </w:rPr>
              <w:t>, and</w:t>
            </w:r>
            <w:r>
              <w:rPr>
                <w:sz w:val="20"/>
              </w:rPr>
              <w:t xml:space="preserve"> they still remain unaware of the forthcoming </w:t>
            </w:r>
            <w:r w:rsidR="00C27898">
              <w:rPr>
                <w:sz w:val="20"/>
              </w:rPr>
              <w:t>eco</w:t>
            </w:r>
            <w:r>
              <w:rPr>
                <w:sz w:val="20"/>
              </w:rPr>
              <w:t>catastrophe</w:t>
            </w:r>
            <w:r w:rsidR="00C27898">
              <w:rPr>
                <w:sz w:val="20"/>
              </w:rPr>
              <w:t xml:space="preserve"> as if there will be no transboundary </w:t>
            </w:r>
            <w:r w:rsidR="00835A05">
              <w:rPr>
                <w:sz w:val="20"/>
              </w:rPr>
              <w:t>impact whatsoever,</w:t>
            </w:r>
            <w:r w:rsidR="00C27898">
              <w:rPr>
                <w:sz w:val="20"/>
              </w:rPr>
              <w:t xml:space="preserve"> regardless of the fact that</w:t>
            </w:r>
            <w:r w:rsidR="00835A05">
              <w:rPr>
                <w:sz w:val="20"/>
              </w:rPr>
              <w:t xml:space="preserve"> in</w:t>
            </w:r>
            <w:r w:rsidR="00C27898">
              <w:rPr>
                <w:sz w:val="20"/>
              </w:rPr>
              <w:t xml:space="preserve"> the EARBD </w:t>
            </w:r>
            <w:r w:rsidR="00835A05">
              <w:rPr>
                <w:sz w:val="20"/>
              </w:rPr>
              <w:t xml:space="preserve">papers it is </w:t>
            </w:r>
            <w:r w:rsidR="00C27898">
              <w:rPr>
                <w:sz w:val="20"/>
              </w:rPr>
              <w:t>stat</w:t>
            </w:r>
            <w:r w:rsidR="00835A05">
              <w:rPr>
                <w:sz w:val="20"/>
              </w:rPr>
              <w:t>ed that</w:t>
            </w:r>
            <w:r w:rsidR="00C27898">
              <w:rPr>
                <w:sz w:val="20"/>
              </w:rPr>
              <w:t xml:space="preserve"> there will be </w:t>
            </w:r>
            <w:r w:rsidR="00835A05">
              <w:rPr>
                <w:sz w:val="20"/>
              </w:rPr>
              <w:t xml:space="preserve">a </w:t>
            </w:r>
            <w:r w:rsidR="00C27898">
              <w:rPr>
                <w:sz w:val="20"/>
              </w:rPr>
              <w:t>significant adverse impact on the surface and the ground water bodies</w:t>
            </w:r>
            <w:r>
              <w:rPr>
                <w:sz w:val="20"/>
              </w:rPr>
              <w:t xml:space="preserve">. </w:t>
            </w:r>
            <w:r w:rsidR="00546FA2">
              <w:rPr>
                <w:sz w:val="20"/>
              </w:rPr>
              <w:t xml:space="preserve">      </w:t>
            </w:r>
          </w:p>
          <w:p w14:paraId="45249889" w14:textId="77777777" w:rsidR="004C7D68" w:rsidRDefault="000409B8">
            <w:pPr>
              <w:pStyle w:val="TableParagraph"/>
              <w:spacing w:before="1" w:line="238" w:lineRule="exact"/>
              <w:ind w:left="99" w:right="156"/>
              <w:rPr>
                <w:sz w:val="20"/>
              </w:rPr>
            </w:pPr>
            <w:r>
              <w:rPr>
                <w:sz w:val="20"/>
              </w:rPr>
              <w:t>The described a</w:t>
            </w:r>
            <w:r w:rsidR="00E37EBE">
              <w:rPr>
                <w:sz w:val="20"/>
              </w:rPr>
              <w:t>ctivity</w:t>
            </w:r>
            <w:r>
              <w:rPr>
                <w:sz w:val="20"/>
              </w:rPr>
              <w:t xml:space="preserve"> fall</w:t>
            </w:r>
            <w:r w:rsidR="00E37EBE">
              <w:rPr>
                <w:sz w:val="20"/>
              </w:rPr>
              <w:t>s</w:t>
            </w:r>
            <w:r>
              <w:rPr>
                <w:sz w:val="20"/>
              </w:rPr>
              <w:t xml:space="preserve"> under No14 in the list in APPENDIX I of the Convention.  </w:t>
            </w:r>
          </w:p>
          <w:p w14:paraId="27FCAC31" w14:textId="77777777" w:rsidR="00735468" w:rsidRDefault="00735468">
            <w:pPr>
              <w:pStyle w:val="TableParagraph"/>
              <w:spacing w:before="1" w:line="238" w:lineRule="exact"/>
              <w:ind w:left="99" w:right="156"/>
              <w:rPr>
                <w:sz w:val="20"/>
              </w:rPr>
            </w:pPr>
          </w:p>
          <w:p w14:paraId="2366A746" w14:textId="77777777" w:rsidR="00835A05" w:rsidRDefault="004631A8">
            <w:pPr>
              <w:pStyle w:val="TableParagraph"/>
              <w:spacing w:before="1" w:line="238" w:lineRule="exact"/>
              <w:ind w:left="99" w:right="156"/>
              <w:rPr>
                <w:sz w:val="20"/>
              </w:rPr>
            </w:pPr>
            <w:r>
              <w:rPr>
                <w:b/>
                <w:sz w:val="20"/>
              </w:rPr>
              <w:t>3</w:t>
            </w:r>
            <w:r w:rsidR="000E4C59">
              <w:rPr>
                <w:b/>
                <w:sz w:val="20"/>
              </w:rPr>
              <w:t>. The mining tsunami in Ivaylovgrad and Kruumovgrad municipalities</w:t>
            </w:r>
          </w:p>
          <w:p w14:paraId="342BE93E" w14:textId="77777777" w:rsidR="00835A05" w:rsidRDefault="002D4272">
            <w:pPr>
              <w:pStyle w:val="TableParagraph"/>
              <w:spacing w:before="1" w:line="238" w:lineRule="exact"/>
              <w:ind w:left="99" w:right="156"/>
              <w:rPr>
                <w:sz w:val="20"/>
              </w:rPr>
            </w:pPr>
            <w:r>
              <w:rPr>
                <w:sz w:val="20"/>
              </w:rPr>
              <w:t>Currently an average</w:t>
            </w:r>
            <w:r w:rsidR="009E509E">
              <w:rPr>
                <w:sz w:val="20"/>
              </w:rPr>
              <w:t xml:space="preserve"> </w:t>
            </w:r>
            <w:r w:rsidR="009E509E" w:rsidRPr="002D4272">
              <w:rPr>
                <w:b/>
                <w:sz w:val="20"/>
              </w:rPr>
              <w:t>70%</w:t>
            </w:r>
            <w:r w:rsidR="009E509E">
              <w:rPr>
                <w:sz w:val="20"/>
              </w:rPr>
              <w:t xml:space="preserve"> of the territories of </w:t>
            </w:r>
            <w:r w:rsidR="00E37EBE">
              <w:rPr>
                <w:sz w:val="20"/>
              </w:rPr>
              <w:t xml:space="preserve">both </w:t>
            </w:r>
            <w:r w:rsidR="009E509E">
              <w:rPr>
                <w:sz w:val="20"/>
              </w:rPr>
              <w:t xml:space="preserve">the Krumovgrad and Ivaylovgrad municipalities are </w:t>
            </w:r>
            <w:r>
              <w:rPr>
                <w:sz w:val="20"/>
              </w:rPr>
              <w:t>designated for</w:t>
            </w:r>
            <w:r w:rsidR="009E509E">
              <w:rPr>
                <w:sz w:val="20"/>
              </w:rPr>
              <w:t xml:space="preserve"> </w:t>
            </w:r>
            <w:r>
              <w:rPr>
                <w:sz w:val="20"/>
              </w:rPr>
              <w:t xml:space="preserve">search and </w:t>
            </w:r>
            <w:r w:rsidR="009E509E">
              <w:rPr>
                <w:sz w:val="20"/>
              </w:rPr>
              <w:t>exploration of metal ore deposits. During the search for metals hundreds of kilometers will be drilled into the ground through the transboundary groundwater body</w:t>
            </w:r>
            <w:r>
              <w:rPr>
                <w:sz w:val="20"/>
              </w:rPr>
              <w:t xml:space="preserve">. Apart from the metals, the </w:t>
            </w:r>
            <w:r w:rsidR="002E4BB9">
              <w:rPr>
                <w:sz w:val="20"/>
              </w:rPr>
              <w:t>ground layer</w:t>
            </w:r>
            <w:r>
              <w:rPr>
                <w:sz w:val="20"/>
              </w:rPr>
              <w:t>s are heavily loaded with</w:t>
            </w:r>
            <w:r w:rsidR="009E509E">
              <w:rPr>
                <w:sz w:val="20"/>
              </w:rPr>
              <w:t xml:space="preserve"> arsenic and other pollutants</w:t>
            </w:r>
            <w:r w:rsidR="009B42DA">
              <w:rPr>
                <w:sz w:val="20"/>
              </w:rPr>
              <w:t xml:space="preserve">. Judging from the </w:t>
            </w:r>
            <w:r w:rsidR="004178C6">
              <w:rPr>
                <w:sz w:val="20"/>
              </w:rPr>
              <w:t>"</w:t>
            </w:r>
            <w:r w:rsidR="009B42DA">
              <w:rPr>
                <w:sz w:val="20"/>
              </w:rPr>
              <w:t>Tintyava</w:t>
            </w:r>
            <w:r w:rsidR="004178C6">
              <w:rPr>
                <w:sz w:val="20"/>
              </w:rPr>
              <w:t>"</w:t>
            </w:r>
            <w:r w:rsidR="009B42DA">
              <w:rPr>
                <w:sz w:val="20"/>
              </w:rPr>
              <w:t xml:space="preserve"> description and </w:t>
            </w:r>
            <w:r w:rsidR="004178C6">
              <w:rPr>
                <w:sz w:val="20"/>
              </w:rPr>
              <w:t xml:space="preserve">from </w:t>
            </w:r>
            <w:r w:rsidR="009B42DA">
              <w:rPr>
                <w:sz w:val="20"/>
              </w:rPr>
              <w:t xml:space="preserve">the </w:t>
            </w:r>
            <w:r w:rsidR="004178C6">
              <w:rPr>
                <w:sz w:val="20"/>
              </w:rPr>
              <w:t xml:space="preserve">impact on the Krumovitsa River by the </w:t>
            </w:r>
            <w:r w:rsidR="009B42DA">
              <w:rPr>
                <w:sz w:val="20"/>
              </w:rPr>
              <w:t>existing new Ada Tepe mine already in operation in Krumovgrad,</w:t>
            </w:r>
            <w:r w:rsidR="009E509E">
              <w:rPr>
                <w:sz w:val="20"/>
              </w:rPr>
              <w:t xml:space="preserve"> the arsenic contents </w:t>
            </w:r>
            <w:r w:rsidR="009B42DA">
              <w:rPr>
                <w:sz w:val="20"/>
              </w:rPr>
              <w:t>appear</w:t>
            </w:r>
            <w:r>
              <w:rPr>
                <w:sz w:val="20"/>
              </w:rPr>
              <w:t xml:space="preserve"> close to the surface and </w:t>
            </w:r>
            <w:r w:rsidR="009E509E">
              <w:rPr>
                <w:sz w:val="20"/>
              </w:rPr>
              <w:t>exceed</w:t>
            </w:r>
            <w:r w:rsidR="009B42DA">
              <w:rPr>
                <w:sz w:val="20"/>
              </w:rPr>
              <w:t xml:space="preserve"> by far</w:t>
            </w:r>
            <w:r w:rsidR="009E509E">
              <w:rPr>
                <w:sz w:val="20"/>
              </w:rPr>
              <w:t xml:space="preserve"> the contents of all other metal</w:t>
            </w:r>
            <w:r>
              <w:rPr>
                <w:sz w:val="20"/>
              </w:rPr>
              <w:t>s combined. Maps of all exploration areas are shown in</w:t>
            </w:r>
            <w:r w:rsidR="009E509E">
              <w:rPr>
                <w:sz w:val="20"/>
              </w:rPr>
              <w:t xml:space="preserve"> the detailed case study</w:t>
            </w:r>
            <w:r>
              <w:rPr>
                <w:sz w:val="20"/>
              </w:rPr>
              <w:t xml:space="preserve"> - see the link in the end.</w:t>
            </w:r>
            <w:r w:rsidR="009E509E">
              <w:rPr>
                <w:sz w:val="20"/>
              </w:rPr>
              <w:t xml:space="preserve"> </w:t>
            </w:r>
          </w:p>
          <w:p w14:paraId="139FCDF0" w14:textId="77777777" w:rsidR="002D4272" w:rsidRDefault="002D4272">
            <w:pPr>
              <w:pStyle w:val="TableParagraph"/>
              <w:spacing w:before="1" w:line="238" w:lineRule="exact"/>
              <w:ind w:left="99" w:right="156"/>
              <w:rPr>
                <w:sz w:val="20"/>
              </w:rPr>
            </w:pPr>
            <w:r>
              <w:rPr>
                <w:sz w:val="20"/>
              </w:rPr>
              <w:t>On the other hand, the existence of metal ore deposits all over the country</w:t>
            </w:r>
            <w:r w:rsidR="000329FA">
              <w:rPr>
                <w:sz w:val="20"/>
              </w:rPr>
              <w:t xml:space="preserve"> is</w:t>
            </w:r>
            <w:r>
              <w:rPr>
                <w:sz w:val="20"/>
              </w:rPr>
              <w:t xml:space="preserve"> very well </w:t>
            </w:r>
            <w:r w:rsidR="00735468">
              <w:rPr>
                <w:sz w:val="20"/>
              </w:rPr>
              <w:t>studied</w:t>
            </w:r>
            <w:r w:rsidR="000329FA">
              <w:rPr>
                <w:sz w:val="20"/>
              </w:rPr>
              <w:t xml:space="preserve"> during</w:t>
            </w:r>
            <w:r>
              <w:rPr>
                <w:sz w:val="20"/>
              </w:rPr>
              <w:t xml:space="preserve"> the old Socialist times. The National Geolodical Fund is full of such data. This means that if a given area is designated for exploration,</w:t>
            </w:r>
            <w:r w:rsidR="00E37EBE">
              <w:rPr>
                <w:sz w:val="20"/>
              </w:rPr>
              <w:t xml:space="preserve"> </w:t>
            </w:r>
            <w:r w:rsidR="00003F59">
              <w:rPr>
                <w:sz w:val="20"/>
              </w:rPr>
              <w:t>t</w:t>
            </w:r>
            <w:r w:rsidR="00E37EBE">
              <w:rPr>
                <w:sz w:val="20"/>
              </w:rPr>
              <w:t>he developer already knows what he will find and</w:t>
            </w:r>
            <w:r w:rsidR="00003F59">
              <w:rPr>
                <w:sz w:val="20"/>
              </w:rPr>
              <w:t xml:space="preserve"> future ore extraction</w:t>
            </w:r>
            <w:r>
              <w:rPr>
                <w:sz w:val="20"/>
              </w:rPr>
              <w:t xml:space="preserve"> </w:t>
            </w:r>
            <w:r w:rsidR="00003F59">
              <w:rPr>
                <w:sz w:val="20"/>
              </w:rPr>
              <w:t>is</w:t>
            </w:r>
            <w:r>
              <w:rPr>
                <w:sz w:val="20"/>
              </w:rPr>
              <w:t xml:space="preserve"> inevitable. </w:t>
            </w:r>
          </w:p>
          <w:p w14:paraId="74AC1E91" w14:textId="77777777" w:rsidR="000409B8" w:rsidRDefault="002D4272">
            <w:pPr>
              <w:pStyle w:val="TableParagraph"/>
              <w:spacing w:before="1" w:line="238" w:lineRule="exact"/>
              <w:ind w:left="99" w:right="156"/>
              <w:rPr>
                <w:sz w:val="20"/>
              </w:rPr>
            </w:pPr>
            <w:r>
              <w:rPr>
                <w:sz w:val="20"/>
              </w:rPr>
              <w:t>The</w:t>
            </w:r>
            <w:r w:rsidR="000409B8">
              <w:rPr>
                <w:sz w:val="20"/>
              </w:rPr>
              <w:t xml:space="preserve">se activities are part of the National Mining Strategy 2030, </w:t>
            </w:r>
            <w:r w:rsidR="000409B8" w:rsidRPr="00003F59">
              <w:rPr>
                <w:sz w:val="20"/>
                <w:u w:val="single"/>
              </w:rPr>
              <w:t>which was not assessed</w:t>
            </w:r>
            <w:r w:rsidR="009B42DA">
              <w:rPr>
                <w:sz w:val="20"/>
              </w:rPr>
              <w:t xml:space="preserve"> under</w:t>
            </w:r>
            <w:r w:rsidR="00003F59">
              <w:rPr>
                <w:sz w:val="20"/>
              </w:rPr>
              <w:t xml:space="preserve"> the necessary</w:t>
            </w:r>
            <w:r w:rsidR="000409B8">
              <w:rPr>
                <w:sz w:val="20"/>
              </w:rPr>
              <w:t xml:space="preserve"> SEA and AA procedures in line with the relevant EU Directives</w:t>
            </w:r>
            <w:r w:rsidR="004178C6">
              <w:rPr>
                <w:sz w:val="20"/>
              </w:rPr>
              <w:t xml:space="preserve"> and cumulative effects are unknown to the mining industry words</w:t>
            </w:r>
            <w:r w:rsidR="000409B8">
              <w:rPr>
                <w:sz w:val="20"/>
              </w:rPr>
              <w:t>.</w:t>
            </w:r>
          </w:p>
          <w:p w14:paraId="0A1D8B3A" w14:textId="77777777" w:rsidR="00735468" w:rsidRDefault="00735468">
            <w:pPr>
              <w:pStyle w:val="TableParagraph"/>
              <w:spacing w:before="1" w:line="238" w:lineRule="exact"/>
              <w:ind w:left="99" w:right="156"/>
              <w:rPr>
                <w:sz w:val="20"/>
              </w:rPr>
            </w:pPr>
          </w:p>
          <w:p w14:paraId="2A72EEF0" w14:textId="77777777" w:rsidR="00735468" w:rsidRDefault="000409B8">
            <w:pPr>
              <w:pStyle w:val="TableParagraph"/>
              <w:spacing w:before="1" w:line="238" w:lineRule="exact"/>
              <w:ind w:left="99" w:right="156"/>
              <w:rPr>
                <w:sz w:val="20"/>
              </w:rPr>
            </w:pPr>
            <w:r>
              <w:rPr>
                <w:sz w:val="20"/>
              </w:rPr>
              <w:t>There is a General Spatial Plan</w:t>
            </w:r>
            <w:r w:rsidR="00735468">
              <w:rPr>
                <w:sz w:val="20"/>
              </w:rPr>
              <w:t xml:space="preserve"> /GSP/</w:t>
            </w:r>
            <w:r>
              <w:rPr>
                <w:sz w:val="20"/>
              </w:rPr>
              <w:t xml:space="preserve"> for the Ivaylovgrad municipality which has been assessed accordingly, but metal ore mines are not included in the Plan at all. </w:t>
            </w:r>
          </w:p>
          <w:p w14:paraId="16452FE0" w14:textId="77777777" w:rsidR="002D4272" w:rsidRDefault="00735468">
            <w:pPr>
              <w:pStyle w:val="TableParagraph"/>
              <w:spacing w:before="1" w:line="238" w:lineRule="exact"/>
              <w:ind w:left="99" w:right="156"/>
              <w:rPr>
                <w:sz w:val="20"/>
              </w:rPr>
            </w:pPr>
            <w:r>
              <w:rPr>
                <w:sz w:val="20"/>
              </w:rPr>
              <w:t>The Krumovgrad municipality doesn't have a GSP, and therefore no mining activities have been assessed at all, while the potential cumulative effects will be enormous</w:t>
            </w:r>
            <w:r w:rsidR="00566862">
              <w:rPr>
                <w:sz w:val="20"/>
              </w:rPr>
              <w:t xml:space="preserve">. </w:t>
            </w:r>
            <w:r w:rsidR="000C1DC0">
              <w:rPr>
                <w:sz w:val="20"/>
              </w:rPr>
              <w:t>See the maps and j</w:t>
            </w:r>
            <w:r w:rsidR="00566862">
              <w:rPr>
                <w:sz w:val="20"/>
              </w:rPr>
              <w:t xml:space="preserve">ust imagine how many kilometers of new forest roads have to be </w:t>
            </w:r>
            <w:r w:rsidR="009B42DA">
              <w:rPr>
                <w:sz w:val="20"/>
              </w:rPr>
              <w:t>cut through</w:t>
            </w:r>
            <w:r w:rsidR="00566862">
              <w:rPr>
                <w:sz w:val="20"/>
              </w:rPr>
              <w:t>...</w:t>
            </w:r>
            <w:r>
              <w:rPr>
                <w:sz w:val="20"/>
              </w:rPr>
              <w:t xml:space="preserve"> </w:t>
            </w:r>
            <w:r w:rsidR="002D4272">
              <w:rPr>
                <w:sz w:val="20"/>
              </w:rPr>
              <w:t xml:space="preserve">  </w:t>
            </w:r>
          </w:p>
          <w:p w14:paraId="774A712C" w14:textId="77777777" w:rsidR="00566862" w:rsidRDefault="00566862">
            <w:pPr>
              <w:pStyle w:val="TableParagraph"/>
              <w:spacing w:before="1" w:line="238" w:lineRule="exact"/>
              <w:ind w:left="99" w:right="156"/>
              <w:rPr>
                <w:sz w:val="20"/>
              </w:rPr>
            </w:pPr>
            <w:r>
              <w:rPr>
                <w:sz w:val="20"/>
              </w:rPr>
              <w:t>The maps in the detailed case study clearly show the huge scale of the future mining activities</w:t>
            </w:r>
            <w:r w:rsidR="00022A81">
              <w:rPr>
                <w:sz w:val="20"/>
              </w:rPr>
              <w:t>.</w:t>
            </w:r>
            <w:r>
              <w:rPr>
                <w:sz w:val="20"/>
              </w:rPr>
              <w:t xml:space="preserve"> </w:t>
            </w:r>
            <w:r w:rsidR="00022A81">
              <w:rPr>
                <w:sz w:val="20"/>
              </w:rPr>
              <w:t>P</w:t>
            </w:r>
            <w:r>
              <w:rPr>
                <w:sz w:val="20"/>
              </w:rPr>
              <w:t>ursuant to article 2, para.7 the party of origin Bulgaria must have put some efforts to apply the principles of EIA in a transboundary context to such vast mining development programmes</w:t>
            </w:r>
            <w:r w:rsidR="009B42DA">
              <w:rPr>
                <w:sz w:val="20"/>
              </w:rPr>
              <w:t xml:space="preserve"> for the</w:t>
            </w:r>
            <w:r>
              <w:rPr>
                <w:sz w:val="20"/>
              </w:rPr>
              <w:t xml:space="preserve"> municipalities</w:t>
            </w:r>
            <w:r w:rsidR="00022A81">
              <w:rPr>
                <w:sz w:val="20"/>
              </w:rPr>
              <w:t xml:space="preserve"> at</w:t>
            </w:r>
            <w:r>
              <w:rPr>
                <w:sz w:val="20"/>
              </w:rPr>
              <w:t xml:space="preserve"> the Bulgarian side of the border</w:t>
            </w:r>
            <w:r w:rsidR="00022A81">
              <w:rPr>
                <w:sz w:val="20"/>
              </w:rPr>
              <w:t xml:space="preserve">, and the affected party Greece must </w:t>
            </w:r>
            <w:r w:rsidR="00003F59">
              <w:rPr>
                <w:sz w:val="20"/>
              </w:rPr>
              <w:t xml:space="preserve">have </w:t>
            </w:r>
            <w:r w:rsidR="00022A81">
              <w:rPr>
                <w:sz w:val="20"/>
              </w:rPr>
              <w:t>be</w:t>
            </w:r>
            <w:r w:rsidR="00003F59">
              <w:rPr>
                <w:sz w:val="20"/>
              </w:rPr>
              <w:t>en</w:t>
            </w:r>
            <w:r w:rsidR="00022A81">
              <w:rPr>
                <w:sz w:val="20"/>
              </w:rPr>
              <w:t xml:space="preserve"> informed as early as possible, which never happened.</w:t>
            </w:r>
            <w:r>
              <w:rPr>
                <w:sz w:val="20"/>
              </w:rPr>
              <w:t xml:space="preserve"> </w:t>
            </w:r>
            <w:r w:rsidR="009B42DA">
              <w:rPr>
                <w:sz w:val="20"/>
              </w:rPr>
              <w:t>Some</w:t>
            </w:r>
            <w:r w:rsidR="0055661A">
              <w:rPr>
                <w:sz w:val="20"/>
              </w:rPr>
              <w:t xml:space="preserve"> </w:t>
            </w:r>
            <w:r w:rsidR="000C1DC0">
              <w:rPr>
                <w:sz w:val="20"/>
              </w:rPr>
              <w:t xml:space="preserve">good </w:t>
            </w:r>
            <w:r w:rsidR="0055661A">
              <w:rPr>
                <w:sz w:val="20"/>
              </w:rPr>
              <w:t>neighbors we are</w:t>
            </w:r>
            <w:r w:rsidR="000C1DC0">
              <w:rPr>
                <w:sz w:val="20"/>
              </w:rPr>
              <w:t>, aren't we</w:t>
            </w:r>
            <w:r w:rsidR="0055661A">
              <w:rPr>
                <w:sz w:val="20"/>
              </w:rPr>
              <w:t>...</w:t>
            </w:r>
            <w:r>
              <w:rPr>
                <w:sz w:val="20"/>
              </w:rPr>
              <w:t xml:space="preserve"> </w:t>
            </w:r>
          </w:p>
          <w:p w14:paraId="7DE4AC27" w14:textId="77777777" w:rsidR="002D4272" w:rsidRDefault="002D4272">
            <w:pPr>
              <w:pStyle w:val="TableParagraph"/>
              <w:spacing w:before="1" w:line="238" w:lineRule="exact"/>
              <w:ind w:left="99" w:right="156"/>
              <w:rPr>
                <w:sz w:val="20"/>
              </w:rPr>
            </w:pPr>
          </w:p>
          <w:p w14:paraId="48AD4815" w14:textId="77777777" w:rsidR="00BD1162" w:rsidRDefault="00A76747" w:rsidP="00C74AA2">
            <w:pPr>
              <w:pStyle w:val="TableParagraph"/>
              <w:spacing w:before="1" w:line="238" w:lineRule="exact"/>
              <w:ind w:left="99" w:right="156"/>
              <w:rPr>
                <w:b/>
                <w:sz w:val="20"/>
              </w:rPr>
            </w:pPr>
            <w:r>
              <w:rPr>
                <w:b/>
                <w:sz w:val="20"/>
              </w:rPr>
              <w:t xml:space="preserve">Full case study on the devastating impacts of the mine on the surface and </w:t>
            </w:r>
            <w:r>
              <w:rPr>
                <w:b/>
                <w:sz w:val="20"/>
              </w:rPr>
              <w:lastRenderedPageBreak/>
              <w:t>groundwater bodies in Bulgaria and North Macedonia</w:t>
            </w:r>
            <w:r w:rsidR="00D824B7" w:rsidRPr="00D824B7">
              <w:rPr>
                <w:b/>
                <w:sz w:val="20"/>
              </w:rPr>
              <w:t xml:space="preserve"> can be found here:</w:t>
            </w:r>
            <w:r w:rsidR="00090239">
              <w:rPr>
                <w:b/>
                <w:sz w:val="20"/>
              </w:rPr>
              <w:t xml:space="preserve">  </w:t>
            </w:r>
          </w:p>
          <w:p w14:paraId="3AB32778" w14:textId="77777777" w:rsidR="00BD1162" w:rsidRDefault="00BD1162" w:rsidP="00C74AA2">
            <w:pPr>
              <w:pStyle w:val="TableParagraph"/>
              <w:spacing w:before="1" w:line="238" w:lineRule="exact"/>
              <w:ind w:left="99" w:right="156"/>
              <w:rPr>
                <w:b/>
                <w:sz w:val="20"/>
              </w:rPr>
            </w:pPr>
          </w:p>
          <w:p w14:paraId="05FDF845" w14:textId="77777777" w:rsidR="00D824B7" w:rsidRPr="00090239" w:rsidRDefault="00000000" w:rsidP="00C74AA2">
            <w:pPr>
              <w:pStyle w:val="TableParagraph"/>
              <w:spacing w:before="1" w:line="238" w:lineRule="exact"/>
              <w:ind w:left="99" w:right="156"/>
              <w:rPr>
                <w:b/>
                <w:sz w:val="20"/>
              </w:rPr>
            </w:pPr>
            <w:hyperlink r:id="rId13" w:history="1">
              <w:r w:rsidR="00BD1162" w:rsidRPr="00BD1162">
                <w:rPr>
                  <w:rStyle w:val="Hyperlink"/>
                </w:rPr>
                <w:t>https://dams.reki.bg/uploads/Docs/Files/ESPOO_COMMITTEE_COMPLAINT_TINTYAVA.pdf</w:t>
              </w:r>
            </w:hyperlink>
          </w:p>
        </w:tc>
      </w:tr>
    </w:tbl>
    <w:p w14:paraId="1A6AC0F2" w14:textId="77777777" w:rsidR="001B0987" w:rsidRDefault="001B0987">
      <w:pPr>
        <w:pStyle w:val="BodyText"/>
        <w:rPr>
          <w:sz w:val="22"/>
        </w:rPr>
      </w:pPr>
    </w:p>
    <w:p w14:paraId="0C78CFAC" w14:textId="77777777" w:rsidR="008B175F" w:rsidRPr="008D69AF" w:rsidRDefault="00DB583F">
      <w:pPr>
        <w:ind w:right="294"/>
        <w:jc w:val="right"/>
        <w:rPr>
          <w:rFonts w:ascii="Times New Roman"/>
          <w:color w:val="808080" w:themeColor="background1" w:themeShade="80"/>
          <w:sz w:val="15"/>
        </w:rPr>
      </w:pPr>
      <w:r w:rsidRPr="008D69AF">
        <w:rPr>
          <w:rFonts w:ascii="Times New Roman"/>
          <w:color w:val="808080" w:themeColor="background1" w:themeShade="80"/>
          <w:sz w:val="15"/>
        </w:rPr>
        <w:t>form version of November 2008</w:t>
      </w:r>
    </w:p>
    <w:p w14:paraId="11C39F1A" w14:textId="77777777" w:rsidR="008B175F" w:rsidRDefault="008B175F">
      <w:pPr>
        <w:jc w:val="right"/>
        <w:rPr>
          <w:rFonts w:ascii="Times New Roman"/>
          <w:sz w:val="15"/>
        </w:rPr>
        <w:sectPr w:rsidR="008B175F">
          <w:type w:val="continuous"/>
          <w:pgSz w:w="12240" w:h="15840"/>
          <w:pgMar w:top="1000" w:right="1020" w:bottom="280" w:left="1100" w:header="720" w:footer="720" w:gutter="0"/>
          <w:cols w:space="720"/>
        </w:sectPr>
      </w:pPr>
    </w:p>
    <w:p w14:paraId="18BB62F8" w14:textId="77777777" w:rsidR="008B175F" w:rsidRDefault="00DB583F">
      <w:pPr>
        <w:spacing w:before="71" w:after="2"/>
        <w:ind w:left="220"/>
        <w:rPr>
          <w:i/>
        </w:rPr>
      </w:pPr>
      <w:r>
        <w:rPr>
          <w:i/>
          <w:w w:val="105"/>
        </w:rPr>
        <w:lastRenderedPageBreak/>
        <w:t>For use by secretariat: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7725"/>
      </w:tblGrid>
      <w:tr w:rsidR="008B175F" w14:paraId="3B2FDA45" w14:textId="77777777" w:rsidTr="00D824B7">
        <w:trPr>
          <w:trHeight w:val="258"/>
        </w:trPr>
        <w:tc>
          <w:tcPr>
            <w:tcW w:w="2221" w:type="dxa"/>
          </w:tcPr>
          <w:p w14:paraId="67D0723F" w14:textId="77777777" w:rsidR="008B175F" w:rsidRPr="001B0987" w:rsidRDefault="00DB583F">
            <w:pPr>
              <w:pStyle w:val="TableParagraph"/>
              <w:spacing w:before="5"/>
            </w:pPr>
            <w:r w:rsidRPr="001B0987">
              <w:rPr>
                <w:w w:val="105"/>
              </w:rPr>
              <w:t>Reference number</w:t>
            </w:r>
          </w:p>
        </w:tc>
        <w:tc>
          <w:tcPr>
            <w:tcW w:w="7725" w:type="dxa"/>
          </w:tcPr>
          <w:p w14:paraId="42BBD6E5" w14:textId="77777777" w:rsidR="008B175F" w:rsidRDefault="00DB583F">
            <w:pPr>
              <w:pStyle w:val="TableParagraph"/>
              <w:spacing w:before="3" w:line="235" w:lineRule="exact"/>
            </w:pPr>
            <w:r>
              <w:rPr>
                <w:w w:val="105"/>
              </w:rPr>
              <w:t>EIA / IC / INFO /</w:t>
            </w:r>
          </w:p>
        </w:tc>
      </w:tr>
      <w:tr w:rsidR="008B175F" w14:paraId="540950CF" w14:textId="77777777" w:rsidTr="00D824B7">
        <w:trPr>
          <w:trHeight w:val="260"/>
        </w:trPr>
        <w:tc>
          <w:tcPr>
            <w:tcW w:w="2221" w:type="dxa"/>
          </w:tcPr>
          <w:p w14:paraId="35D5630E" w14:textId="77777777" w:rsidR="008B175F" w:rsidRPr="001B0987" w:rsidRDefault="00DB583F">
            <w:pPr>
              <w:pStyle w:val="TableParagraph"/>
              <w:spacing w:before="6"/>
            </w:pPr>
            <w:r w:rsidRPr="001B0987">
              <w:rPr>
                <w:w w:val="105"/>
              </w:rPr>
              <w:t>Date received</w:t>
            </w:r>
          </w:p>
        </w:tc>
        <w:tc>
          <w:tcPr>
            <w:tcW w:w="7725" w:type="dxa"/>
          </w:tcPr>
          <w:p w14:paraId="5645EFB2" w14:textId="77777777" w:rsidR="008B175F" w:rsidRDefault="008B175F">
            <w:pPr>
              <w:pStyle w:val="TableParagraph"/>
              <w:ind w:left="0"/>
              <w:rPr>
                <w:rFonts w:ascii="Times New Roman"/>
                <w:sz w:val="18"/>
              </w:rPr>
            </w:pPr>
          </w:p>
        </w:tc>
      </w:tr>
      <w:tr w:rsidR="008B175F" w14:paraId="1B076B9A" w14:textId="77777777" w:rsidTr="00D824B7">
        <w:trPr>
          <w:trHeight w:val="475"/>
        </w:trPr>
        <w:tc>
          <w:tcPr>
            <w:tcW w:w="2221" w:type="dxa"/>
          </w:tcPr>
          <w:p w14:paraId="046E0A8A" w14:textId="77777777" w:rsidR="008B175F" w:rsidRPr="001B0987" w:rsidRDefault="00DB583F">
            <w:pPr>
              <w:pStyle w:val="TableParagraph"/>
              <w:spacing w:before="2" w:line="238" w:lineRule="exact"/>
            </w:pPr>
            <w:r w:rsidRPr="001B0987">
              <w:rPr>
                <w:w w:val="105"/>
              </w:rPr>
              <w:t>Original language of information</w:t>
            </w:r>
          </w:p>
        </w:tc>
        <w:tc>
          <w:tcPr>
            <w:tcW w:w="7725" w:type="dxa"/>
          </w:tcPr>
          <w:p w14:paraId="0C9714D8" w14:textId="77777777" w:rsidR="008B175F" w:rsidRDefault="008B175F">
            <w:pPr>
              <w:pStyle w:val="TableParagraph"/>
              <w:ind w:left="0"/>
              <w:rPr>
                <w:rFonts w:ascii="Times New Roman"/>
                <w:sz w:val="20"/>
              </w:rPr>
            </w:pPr>
          </w:p>
        </w:tc>
      </w:tr>
      <w:tr w:rsidR="008B175F" w14:paraId="07B8F8E9" w14:textId="77777777" w:rsidTr="00D824B7">
        <w:trPr>
          <w:trHeight w:val="472"/>
        </w:trPr>
        <w:tc>
          <w:tcPr>
            <w:tcW w:w="2221" w:type="dxa"/>
          </w:tcPr>
          <w:p w14:paraId="06B7B137" w14:textId="77777777" w:rsidR="008B175F" w:rsidRPr="001B0987" w:rsidRDefault="00DB583F">
            <w:pPr>
              <w:pStyle w:val="TableParagraph"/>
              <w:spacing w:before="2"/>
            </w:pPr>
            <w:r w:rsidRPr="001B0987">
              <w:rPr>
                <w:w w:val="105"/>
              </w:rPr>
              <w:t>Translation into</w:t>
            </w:r>
          </w:p>
          <w:p w14:paraId="50163C48" w14:textId="77777777" w:rsidR="008B175F" w:rsidRPr="001B0987" w:rsidRDefault="00DB583F">
            <w:pPr>
              <w:pStyle w:val="TableParagraph"/>
              <w:spacing w:before="9" w:line="212" w:lineRule="exact"/>
            </w:pPr>
            <w:r w:rsidRPr="001B0987">
              <w:rPr>
                <w:w w:val="105"/>
              </w:rPr>
              <w:t>English by</w:t>
            </w:r>
          </w:p>
        </w:tc>
        <w:tc>
          <w:tcPr>
            <w:tcW w:w="7725" w:type="dxa"/>
          </w:tcPr>
          <w:p w14:paraId="001383EE" w14:textId="77777777" w:rsidR="008B175F" w:rsidRDefault="008B175F">
            <w:pPr>
              <w:pStyle w:val="TableParagraph"/>
              <w:ind w:left="0"/>
              <w:rPr>
                <w:rFonts w:ascii="Times New Roman"/>
                <w:sz w:val="20"/>
              </w:rPr>
            </w:pPr>
          </w:p>
        </w:tc>
      </w:tr>
      <w:tr w:rsidR="008B175F" w14:paraId="4ECDFF72" w14:textId="77777777" w:rsidTr="00D824B7">
        <w:trPr>
          <w:trHeight w:val="474"/>
        </w:trPr>
        <w:tc>
          <w:tcPr>
            <w:tcW w:w="2221" w:type="dxa"/>
          </w:tcPr>
          <w:p w14:paraId="5E31C601" w14:textId="77777777" w:rsidR="008B175F" w:rsidRPr="001B0987" w:rsidRDefault="00DB583F">
            <w:pPr>
              <w:pStyle w:val="TableParagraph"/>
              <w:spacing w:before="2" w:line="238" w:lineRule="exact"/>
            </w:pPr>
            <w:r w:rsidRPr="001B0987">
              <w:rPr>
                <w:w w:val="105"/>
              </w:rPr>
              <w:t>Date forwarded to Committee</w:t>
            </w:r>
          </w:p>
        </w:tc>
        <w:tc>
          <w:tcPr>
            <w:tcW w:w="7725" w:type="dxa"/>
          </w:tcPr>
          <w:p w14:paraId="3686072C" w14:textId="77777777" w:rsidR="008B175F" w:rsidRDefault="008B175F">
            <w:pPr>
              <w:pStyle w:val="TableParagraph"/>
              <w:ind w:left="0"/>
              <w:rPr>
                <w:rFonts w:ascii="Times New Roman"/>
                <w:sz w:val="20"/>
              </w:rPr>
            </w:pPr>
          </w:p>
        </w:tc>
      </w:tr>
      <w:tr w:rsidR="008B175F" w14:paraId="0B160DE1" w14:textId="77777777" w:rsidTr="00D824B7">
        <w:trPr>
          <w:trHeight w:val="472"/>
        </w:trPr>
        <w:tc>
          <w:tcPr>
            <w:tcW w:w="2221" w:type="dxa"/>
          </w:tcPr>
          <w:p w14:paraId="4FCD97CC" w14:textId="77777777" w:rsidR="008B175F" w:rsidRPr="001B0987" w:rsidRDefault="00DB583F">
            <w:pPr>
              <w:pStyle w:val="TableParagraph"/>
              <w:spacing w:before="2"/>
            </w:pPr>
            <w:r w:rsidRPr="001B0987">
              <w:rPr>
                <w:w w:val="105"/>
              </w:rPr>
              <w:t>Date forwarded to</w:t>
            </w:r>
          </w:p>
          <w:p w14:paraId="1D454FB8" w14:textId="77777777" w:rsidR="008B175F" w:rsidRPr="001B0987" w:rsidRDefault="00DB583F">
            <w:pPr>
              <w:pStyle w:val="TableParagraph"/>
              <w:spacing w:before="9" w:line="211" w:lineRule="exact"/>
            </w:pPr>
            <w:r w:rsidRPr="001B0987">
              <w:rPr>
                <w:w w:val="105"/>
              </w:rPr>
              <w:t>Party or Parties</w:t>
            </w:r>
          </w:p>
        </w:tc>
        <w:tc>
          <w:tcPr>
            <w:tcW w:w="7725" w:type="dxa"/>
          </w:tcPr>
          <w:p w14:paraId="070FFAD2" w14:textId="77777777" w:rsidR="008B175F" w:rsidRDefault="008B175F">
            <w:pPr>
              <w:pStyle w:val="TableParagraph"/>
              <w:ind w:left="0"/>
              <w:rPr>
                <w:rFonts w:ascii="Times New Roman"/>
                <w:sz w:val="20"/>
              </w:rPr>
            </w:pPr>
          </w:p>
        </w:tc>
      </w:tr>
      <w:tr w:rsidR="008B175F" w14:paraId="597FAC06" w14:textId="77777777" w:rsidTr="00D824B7">
        <w:trPr>
          <w:trHeight w:val="475"/>
        </w:trPr>
        <w:tc>
          <w:tcPr>
            <w:tcW w:w="2221" w:type="dxa"/>
          </w:tcPr>
          <w:p w14:paraId="681F1E11" w14:textId="77777777" w:rsidR="008B175F" w:rsidRPr="001B0987" w:rsidRDefault="00DB583F">
            <w:pPr>
              <w:pStyle w:val="TableParagraph"/>
              <w:spacing w:before="3" w:line="238" w:lineRule="exact"/>
            </w:pPr>
            <w:r w:rsidRPr="001B0987">
              <w:rPr>
                <w:w w:val="105"/>
              </w:rPr>
              <w:t>Remarks by secretariat</w:t>
            </w:r>
          </w:p>
        </w:tc>
        <w:tc>
          <w:tcPr>
            <w:tcW w:w="7725" w:type="dxa"/>
          </w:tcPr>
          <w:p w14:paraId="0CD16E43" w14:textId="77777777" w:rsidR="008B175F" w:rsidRDefault="008B175F">
            <w:pPr>
              <w:pStyle w:val="TableParagraph"/>
              <w:ind w:left="0"/>
              <w:rPr>
                <w:rFonts w:ascii="Times New Roman"/>
                <w:sz w:val="20"/>
              </w:rPr>
            </w:pPr>
          </w:p>
        </w:tc>
      </w:tr>
      <w:tr w:rsidR="008B175F" w14:paraId="5C37B4F3" w14:textId="77777777" w:rsidTr="00D824B7">
        <w:trPr>
          <w:trHeight w:val="1056"/>
        </w:trPr>
        <w:tc>
          <w:tcPr>
            <w:tcW w:w="2221" w:type="dxa"/>
          </w:tcPr>
          <w:p w14:paraId="11F7380D" w14:textId="77777777" w:rsidR="008B175F" w:rsidRPr="001B0987" w:rsidRDefault="00DB583F">
            <w:pPr>
              <w:pStyle w:val="TableParagraph"/>
              <w:spacing w:before="2" w:line="242" w:lineRule="auto"/>
              <w:ind w:right="87"/>
              <w:rPr>
                <w:sz w:val="18"/>
                <w:szCs w:val="18"/>
              </w:rPr>
            </w:pPr>
            <w:r w:rsidRPr="001B0987">
              <w:t>Date first discussed by the Committee</w:t>
            </w:r>
            <w:r>
              <w:rPr>
                <w:sz w:val="20"/>
              </w:rPr>
              <w:t xml:space="preserve"> </w:t>
            </w:r>
            <w:r w:rsidRPr="001B0987">
              <w:rPr>
                <w:sz w:val="18"/>
                <w:szCs w:val="18"/>
              </w:rPr>
              <w:t>(possibly including preliminary determination</w:t>
            </w:r>
          </w:p>
          <w:p w14:paraId="542E0457" w14:textId="77777777" w:rsidR="008B175F" w:rsidRDefault="00DB583F">
            <w:pPr>
              <w:pStyle w:val="TableParagraph"/>
              <w:spacing w:line="176" w:lineRule="exact"/>
              <w:rPr>
                <w:sz w:val="17"/>
              </w:rPr>
            </w:pPr>
            <w:r w:rsidRPr="001B0987">
              <w:rPr>
                <w:sz w:val="18"/>
                <w:szCs w:val="18"/>
              </w:rPr>
              <w:t>of admissibility)</w:t>
            </w:r>
          </w:p>
        </w:tc>
        <w:tc>
          <w:tcPr>
            <w:tcW w:w="7725" w:type="dxa"/>
          </w:tcPr>
          <w:p w14:paraId="04697199" w14:textId="77777777" w:rsidR="008B175F" w:rsidRDefault="008B175F">
            <w:pPr>
              <w:pStyle w:val="TableParagraph"/>
              <w:ind w:left="0"/>
              <w:rPr>
                <w:rFonts w:ascii="Times New Roman"/>
                <w:sz w:val="20"/>
              </w:rPr>
            </w:pPr>
          </w:p>
        </w:tc>
      </w:tr>
      <w:tr w:rsidR="008B175F" w14:paraId="63FED7E4" w14:textId="77777777" w:rsidTr="00D824B7">
        <w:trPr>
          <w:trHeight w:val="713"/>
        </w:trPr>
        <w:tc>
          <w:tcPr>
            <w:tcW w:w="2221" w:type="dxa"/>
          </w:tcPr>
          <w:p w14:paraId="6025BB39" w14:textId="77777777" w:rsidR="008B175F" w:rsidRPr="001B0987" w:rsidRDefault="00DB583F">
            <w:pPr>
              <w:pStyle w:val="TableParagraph"/>
              <w:spacing w:before="4"/>
            </w:pPr>
            <w:r w:rsidRPr="001B0987">
              <w:rPr>
                <w:w w:val="105"/>
              </w:rPr>
              <w:t>Additional</w:t>
            </w:r>
          </w:p>
          <w:p w14:paraId="228C5798" w14:textId="77777777" w:rsidR="008B175F" w:rsidRDefault="00DB583F">
            <w:pPr>
              <w:pStyle w:val="TableParagraph"/>
              <w:spacing w:before="9" w:line="230" w:lineRule="atLeast"/>
              <w:ind w:right="125"/>
              <w:rPr>
                <w:sz w:val="20"/>
              </w:rPr>
            </w:pPr>
            <w:r w:rsidRPr="001B0987">
              <w:rPr>
                <w:w w:val="105"/>
              </w:rPr>
              <w:t>information requested of source</w:t>
            </w:r>
          </w:p>
        </w:tc>
        <w:tc>
          <w:tcPr>
            <w:tcW w:w="7725" w:type="dxa"/>
          </w:tcPr>
          <w:p w14:paraId="7D092C8B" w14:textId="77777777" w:rsidR="008B175F" w:rsidRDefault="008B175F">
            <w:pPr>
              <w:pStyle w:val="TableParagraph"/>
              <w:ind w:left="0"/>
              <w:rPr>
                <w:rFonts w:ascii="Times New Roman"/>
                <w:sz w:val="20"/>
              </w:rPr>
            </w:pPr>
          </w:p>
        </w:tc>
      </w:tr>
    </w:tbl>
    <w:p w14:paraId="42AD285C" w14:textId="77777777" w:rsidR="008B175F" w:rsidRDefault="008B175F">
      <w:pPr>
        <w:pStyle w:val="BodyText"/>
        <w:spacing w:before="11"/>
        <w:rPr>
          <w:i/>
          <w:sz w:val="22"/>
        </w:rPr>
      </w:pPr>
    </w:p>
    <w:p w14:paraId="07F225CB" w14:textId="77777777" w:rsidR="008B175F" w:rsidRDefault="00DB583F">
      <w:pPr>
        <w:ind w:left="220"/>
        <w:rPr>
          <w:i/>
        </w:rPr>
      </w:pPr>
      <w:r>
        <w:rPr>
          <w:i/>
          <w:w w:val="105"/>
        </w:rPr>
        <w:t>For use by the Committee:</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1"/>
        <w:gridCol w:w="2415"/>
      </w:tblGrid>
      <w:tr w:rsidR="008B175F" w14:paraId="0B2A8D1C" w14:textId="77777777" w:rsidTr="00D824B7">
        <w:trPr>
          <w:trHeight w:val="258"/>
        </w:trPr>
        <w:tc>
          <w:tcPr>
            <w:tcW w:w="7531" w:type="dxa"/>
          </w:tcPr>
          <w:p w14:paraId="6FA0A473" w14:textId="77777777" w:rsidR="008B175F" w:rsidRPr="001B0987" w:rsidRDefault="00DB583F">
            <w:pPr>
              <w:pStyle w:val="TableParagraph"/>
              <w:spacing w:before="5"/>
            </w:pPr>
            <w:r w:rsidRPr="001B0987">
              <w:rPr>
                <w:w w:val="105"/>
              </w:rPr>
              <w:t>The source of the information is known and not anonymous</w:t>
            </w:r>
          </w:p>
        </w:tc>
        <w:tc>
          <w:tcPr>
            <w:tcW w:w="2415" w:type="dxa"/>
          </w:tcPr>
          <w:p w14:paraId="00D1C977" w14:textId="77777777" w:rsidR="008B175F" w:rsidRDefault="008B175F">
            <w:pPr>
              <w:pStyle w:val="TableParagraph"/>
              <w:ind w:left="0"/>
              <w:rPr>
                <w:rFonts w:ascii="Times New Roman"/>
                <w:sz w:val="18"/>
              </w:rPr>
            </w:pPr>
          </w:p>
        </w:tc>
      </w:tr>
      <w:tr w:rsidR="008B175F" w14:paraId="7C3D22C5" w14:textId="77777777" w:rsidTr="00D824B7">
        <w:trPr>
          <w:trHeight w:val="475"/>
        </w:trPr>
        <w:tc>
          <w:tcPr>
            <w:tcW w:w="7531" w:type="dxa"/>
          </w:tcPr>
          <w:p w14:paraId="7A742B75" w14:textId="77777777" w:rsidR="008B175F" w:rsidRPr="001B0987" w:rsidRDefault="00DB583F">
            <w:pPr>
              <w:pStyle w:val="TableParagraph"/>
              <w:spacing w:before="6" w:line="230" w:lineRule="atLeast"/>
              <w:ind w:right="467"/>
            </w:pPr>
            <w:r w:rsidRPr="001B0987">
              <w:rPr>
                <w:w w:val="105"/>
              </w:rPr>
              <w:t>The information relates to an activity listed in Appendix I to the Convention</w:t>
            </w:r>
            <w:r w:rsidRPr="001B0987">
              <w:rPr>
                <w:spacing w:val="-14"/>
                <w:w w:val="105"/>
              </w:rPr>
              <w:t xml:space="preserve"> </w:t>
            </w:r>
            <w:r w:rsidRPr="001B0987">
              <w:rPr>
                <w:w w:val="105"/>
              </w:rPr>
              <w:t>likely</w:t>
            </w:r>
            <w:r w:rsidRPr="001B0987">
              <w:rPr>
                <w:spacing w:val="-14"/>
                <w:w w:val="105"/>
              </w:rPr>
              <w:t xml:space="preserve"> </w:t>
            </w:r>
            <w:r w:rsidRPr="001B0987">
              <w:rPr>
                <w:w w:val="105"/>
              </w:rPr>
              <w:t>to</w:t>
            </w:r>
            <w:r w:rsidRPr="001B0987">
              <w:rPr>
                <w:spacing w:val="-14"/>
                <w:w w:val="105"/>
              </w:rPr>
              <w:t xml:space="preserve"> </w:t>
            </w:r>
            <w:r w:rsidRPr="001B0987">
              <w:rPr>
                <w:w w:val="105"/>
              </w:rPr>
              <w:t>have</w:t>
            </w:r>
            <w:r w:rsidRPr="001B0987">
              <w:rPr>
                <w:spacing w:val="-13"/>
                <w:w w:val="105"/>
              </w:rPr>
              <w:t xml:space="preserve"> </w:t>
            </w:r>
            <w:r w:rsidRPr="001B0987">
              <w:rPr>
                <w:w w:val="105"/>
              </w:rPr>
              <w:t>a</w:t>
            </w:r>
            <w:r w:rsidRPr="001B0987">
              <w:rPr>
                <w:spacing w:val="-13"/>
                <w:w w:val="105"/>
              </w:rPr>
              <w:t xml:space="preserve"> </w:t>
            </w:r>
            <w:r w:rsidRPr="001B0987">
              <w:rPr>
                <w:w w:val="105"/>
              </w:rPr>
              <w:t>significant</w:t>
            </w:r>
            <w:r w:rsidRPr="001B0987">
              <w:rPr>
                <w:spacing w:val="-12"/>
                <w:w w:val="105"/>
              </w:rPr>
              <w:t xml:space="preserve"> </w:t>
            </w:r>
            <w:r w:rsidRPr="001B0987">
              <w:rPr>
                <w:w w:val="105"/>
              </w:rPr>
              <w:t>adverse</w:t>
            </w:r>
            <w:r w:rsidRPr="001B0987">
              <w:rPr>
                <w:spacing w:val="-14"/>
                <w:w w:val="105"/>
              </w:rPr>
              <w:t xml:space="preserve"> </w:t>
            </w:r>
            <w:r w:rsidRPr="001B0987">
              <w:rPr>
                <w:w w:val="105"/>
              </w:rPr>
              <w:t>transboundary</w:t>
            </w:r>
            <w:r w:rsidRPr="001B0987">
              <w:rPr>
                <w:spacing w:val="-14"/>
                <w:w w:val="105"/>
              </w:rPr>
              <w:t xml:space="preserve"> </w:t>
            </w:r>
            <w:r w:rsidRPr="001B0987">
              <w:rPr>
                <w:w w:val="105"/>
              </w:rPr>
              <w:t>impact</w:t>
            </w:r>
          </w:p>
        </w:tc>
        <w:tc>
          <w:tcPr>
            <w:tcW w:w="2415" w:type="dxa"/>
          </w:tcPr>
          <w:p w14:paraId="55B42D5D" w14:textId="77777777" w:rsidR="008B175F" w:rsidRDefault="008B175F">
            <w:pPr>
              <w:pStyle w:val="TableParagraph"/>
              <w:ind w:left="0"/>
              <w:rPr>
                <w:rFonts w:ascii="Times New Roman"/>
                <w:sz w:val="20"/>
              </w:rPr>
            </w:pPr>
          </w:p>
        </w:tc>
      </w:tr>
      <w:tr w:rsidR="008B175F" w14:paraId="16E48922" w14:textId="77777777" w:rsidTr="00D824B7">
        <w:trPr>
          <w:trHeight w:val="260"/>
        </w:trPr>
        <w:tc>
          <w:tcPr>
            <w:tcW w:w="7531" w:type="dxa"/>
          </w:tcPr>
          <w:p w14:paraId="506BE58A" w14:textId="77777777" w:rsidR="008B175F" w:rsidRPr="001B0987" w:rsidRDefault="00DB583F">
            <w:pPr>
              <w:pStyle w:val="TableParagraph"/>
              <w:spacing w:before="6"/>
            </w:pPr>
            <w:r w:rsidRPr="001B0987">
              <w:rPr>
                <w:w w:val="105"/>
              </w:rPr>
              <w:t>The information is the basis for a profound suspicion of non-compliance</w:t>
            </w:r>
          </w:p>
        </w:tc>
        <w:tc>
          <w:tcPr>
            <w:tcW w:w="2415" w:type="dxa"/>
          </w:tcPr>
          <w:p w14:paraId="5651B047" w14:textId="77777777" w:rsidR="008B175F" w:rsidRDefault="008B175F">
            <w:pPr>
              <w:pStyle w:val="TableParagraph"/>
              <w:ind w:left="0"/>
              <w:rPr>
                <w:rFonts w:ascii="Times New Roman"/>
                <w:sz w:val="18"/>
              </w:rPr>
            </w:pPr>
          </w:p>
        </w:tc>
      </w:tr>
      <w:tr w:rsidR="008B175F" w14:paraId="6D36EA2D" w14:textId="77777777" w:rsidTr="00D824B7">
        <w:trPr>
          <w:trHeight w:val="258"/>
        </w:trPr>
        <w:tc>
          <w:tcPr>
            <w:tcW w:w="7531" w:type="dxa"/>
          </w:tcPr>
          <w:p w14:paraId="586DA20F" w14:textId="77777777" w:rsidR="008B175F" w:rsidRPr="001B0987" w:rsidRDefault="00DB583F">
            <w:pPr>
              <w:pStyle w:val="TableParagraph"/>
              <w:spacing w:before="5"/>
            </w:pPr>
            <w:r w:rsidRPr="001B0987">
              <w:rPr>
                <w:w w:val="105"/>
              </w:rPr>
              <w:t>The information relates to the implementation of Convention provisions</w:t>
            </w:r>
          </w:p>
        </w:tc>
        <w:tc>
          <w:tcPr>
            <w:tcW w:w="2415" w:type="dxa"/>
          </w:tcPr>
          <w:p w14:paraId="00EF08F2" w14:textId="77777777" w:rsidR="008B175F" w:rsidRDefault="008B175F">
            <w:pPr>
              <w:pStyle w:val="TableParagraph"/>
              <w:ind w:left="0"/>
              <w:rPr>
                <w:rFonts w:ascii="Times New Roman"/>
                <w:sz w:val="18"/>
              </w:rPr>
            </w:pPr>
          </w:p>
        </w:tc>
      </w:tr>
      <w:tr w:rsidR="008B175F" w14:paraId="02D981EA" w14:textId="77777777" w:rsidTr="00D824B7">
        <w:trPr>
          <w:trHeight w:val="258"/>
        </w:trPr>
        <w:tc>
          <w:tcPr>
            <w:tcW w:w="7531" w:type="dxa"/>
          </w:tcPr>
          <w:p w14:paraId="6EC2BE60" w14:textId="77777777" w:rsidR="008B175F" w:rsidRPr="001B0987" w:rsidRDefault="00DB583F">
            <w:pPr>
              <w:pStyle w:val="TableParagraph"/>
              <w:spacing w:before="5"/>
            </w:pPr>
            <w:r w:rsidRPr="001B0987">
              <w:rPr>
                <w:w w:val="105"/>
              </w:rPr>
              <w:t>Committee time and resources are available</w:t>
            </w:r>
          </w:p>
        </w:tc>
        <w:tc>
          <w:tcPr>
            <w:tcW w:w="2415" w:type="dxa"/>
          </w:tcPr>
          <w:p w14:paraId="400E622F" w14:textId="77777777" w:rsidR="008B175F" w:rsidRDefault="008B175F">
            <w:pPr>
              <w:pStyle w:val="TableParagraph"/>
              <w:ind w:left="0"/>
              <w:rPr>
                <w:rFonts w:ascii="Times New Roman"/>
                <w:sz w:val="18"/>
              </w:rPr>
            </w:pPr>
          </w:p>
        </w:tc>
      </w:tr>
    </w:tbl>
    <w:p w14:paraId="6D59A381" w14:textId="77777777" w:rsidR="008516C0" w:rsidRDefault="008516C0" w:rsidP="00F91805">
      <w:pPr>
        <w:ind w:right="3076"/>
        <w:rPr>
          <w:rFonts w:ascii="Times New Roman"/>
        </w:rPr>
      </w:pPr>
    </w:p>
    <w:sectPr w:rsidR="008516C0" w:rsidSect="00A60407">
      <w:pgSz w:w="12240" w:h="15840"/>
      <w:pgMar w:top="1000" w:right="1020" w:bottom="280" w:left="11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C99F" w14:textId="77777777" w:rsidR="00D75B2C" w:rsidRDefault="00D75B2C" w:rsidP="008516C0">
      <w:r>
        <w:separator/>
      </w:r>
    </w:p>
  </w:endnote>
  <w:endnote w:type="continuationSeparator" w:id="0">
    <w:p w14:paraId="5371ECD8" w14:textId="77777777" w:rsidR="00D75B2C" w:rsidRDefault="00D75B2C" w:rsidP="0085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ED82" w14:textId="77777777" w:rsidR="00D75B2C" w:rsidRDefault="00D75B2C" w:rsidP="008516C0">
      <w:r>
        <w:separator/>
      </w:r>
    </w:p>
  </w:footnote>
  <w:footnote w:type="continuationSeparator" w:id="0">
    <w:p w14:paraId="1BE30106" w14:textId="77777777" w:rsidR="00D75B2C" w:rsidRDefault="00D75B2C" w:rsidP="0085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546F"/>
    <w:multiLevelType w:val="hybridMultilevel"/>
    <w:tmpl w:val="28580F76"/>
    <w:lvl w:ilvl="0" w:tplc="21BA219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8A5253E"/>
    <w:multiLevelType w:val="hybridMultilevel"/>
    <w:tmpl w:val="E38612E6"/>
    <w:lvl w:ilvl="0" w:tplc="5352FBC8">
      <w:numFmt w:val="bullet"/>
      <w:lvlText w:val="-"/>
      <w:lvlJc w:val="left"/>
      <w:pPr>
        <w:ind w:left="100" w:hanging="127"/>
      </w:pPr>
      <w:rPr>
        <w:rFonts w:ascii="Arial" w:eastAsia="Arial" w:hAnsi="Arial" w:cs="Arial" w:hint="default"/>
        <w:w w:val="103"/>
        <w:sz w:val="20"/>
        <w:szCs w:val="20"/>
        <w:lang w:val="en-US" w:eastAsia="en-US" w:bidi="en-US"/>
      </w:rPr>
    </w:lvl>
    <w:lvl w:ilvl="1" w:tplc="F3A2201A">
      <w:numFmt w:val="bullet"/>
      <w:lvlText w:val="•"/>
      <w:lvlJc w:val="left"/>
      <w:pPr>
        <w:ind w:left="783" w:hanging="127"/>
      </w:pPr>
      <w:rPr>
        <w:rFonts w:hint="default"/>
        <w:lang w:val="en-US" w:eastAsia="en-US" w:bidi="en-US"/>
      </w:rPr>
    </w:lvl>
    <w:lvl w:ilvl="2" w:tplc="F89C183C">
      <w:numFmt w:val="bullet"/>
      <w:lvlText w:val="•"/>
      <w:lvlJc w:val="left"/>
      <w:pPr>
        <w:ind w:left="1466" w:hanging="127"/>
      </w:pPr>
      <w:rPr>
        <w:rFonts w:hint="default"/>
        <w:lang w:val="en-US" w:eastAsia="en-US" w:bidi="en-US"/>
      </w:rPr>
    </w:lvl>
    <w:lvl w:ilvl="3" w:tplc="1AC68B76">
      <w:numFmt w:val="bullet"/>
      <w:lvlText w:val="•"/>
      <w:lvlJc w:val="left"/>
      <w:pPr>
        <w:ind w:left="2150" w:hanging="127"/>
      </w:pPr>
      <w:rPr>
        <w:rFonts w:hint="default"/>
        <w:lang w:val="en-US" w:eastAsia="en-US" w:bidi="en-US"/>
      </w:rPr>
    </w:lvl>
    <w:lvl w:ilvl="4" w:tplc="A88C997E">
      <w:numFmt w:val="bullet"/>
      <w:lvlText w:val="•"/>
      <w:lvlJc w:val="left"/>
      <w:pPr>
        <w:ind w:left="2833" w:hanging="127"/>
      </w:pPr>
      <w:rPr>
        <w:rFonts w:hint="default"/>
        <w:lang w:val="en-US" w:eastAsia="en-US" w:bidi="en-US"/>
      </w:rPr>
    </w:lvl>
    <w:lvl w:ilvl="5" w:tplc="F2402CA6">
      <w:numFmt w:val="bullet"/>
      <w:lvlText w:val="•"/>
      <w:lvlJc w:val="left"/>
      <w:pPr>
        <w:ind w:left="3517" w:hanging="127"/>
      </w:pPr>
      <w:rPr>
        <w:rFonts w:hint="default"/>
        <w:lang w:val="en-US" w:eastAsia="en-US" w:bidi="en-US"/>
      </w:rPr>
    </w:lvl>
    <w:lvl w:ilvl="6" w:tplc="69881766">
      <w:numFmt w:val="bullet"/>
      <w:lvlText w:val="•"/>
      <w:lvlJc w:val="left"/>
      <w:pPr>
        <w:ind w:left="4200" w:hanging="127"/>
      </w:pPr>
      <w:rPr>
        <w:rFonts w:hint="default"/>
        <w:lang w:val="en-US" w:eastAsia="en-US" w:bidi="en-US"/>
      </w:rPr>
    </w:lvl>
    <w:lvl w:ilvl="7" w:tplc="151C1740">
      <w:numFmt w:val="bullet"/>
      <w:lvlText w:val="•"/>
      <w:lvlJc w:val="left"/>
      <w:pPr>
        <w:ind w:left="4883" w:hanging="127"/>
      </w:pPr>
      <w:rPr>
        <w:rFonts w:hint="default"/>
        <w:lang w:val="en-US" w:eastAsia="en-US" w:bidi="en-US"/>
      </w:rPr>
    </w:lvl>
    <w:lvl w:ilvl="8" w:tplc="36C2020E">
      <w:numFmt w:val="bullet"/>
      <w:lvlText w:val="•"/>
      <w:lvlJc w:val="left"/>
      <w:pPr>
        <w:ind w:left="5567" w:hanging="127"/>
      </w:pPr>
      <w:rPr>
        <w:rFonts w:hint="default"/>
        <w:lang w:val="en-US" w:eastAsia="en-US" w:bidi="en-US"/>
      </w:rPr>
    </w:lvl>
  </w:abstractNum>
  <w:abstractNum w:abstractNumId="2" w15:restartNumberingAfterBreak="0">
    <w:nsid w:val="7EA83A16"/>
    <w:multiLevelType w:val="hybridMultilevel"/>
    <w:tmpl w:val="612C29F2"/>
    <w:lvl w:ilvl="0" w:tplc="84B2337E">
      <w:numFmt w:val="bullet"/>
      <w:lvlText w:val="-"/>
      <w:lvlJc w:val="left"/>
      <w:pPr>
        <w:ind w:left="99" w:hanging="127"/>
      </w:pPr>
      <w:rPr>
        <w:rFonts w:ascii="Arial" w:eastAsia="Arial" w:hAnsi="Arial" w:cs="Arial" w:hint="default"/>
        <w:w w:val="103"/>
        <w:sz w:val="20"/>
        <w:szCs w:val="20"/>
        <w:lang w:val="en-US" w:eastAsia="en-US" w:bidi="en-US"/>
      </w:rPr>
    </w:lvl>
    <w:lvl w:ilvl="1" w:tplc="B600AABA">
      <w:numFmt w:val="bullet"/>
      <w:lvlText w:val="•"/>
      <w:lvlJc w:val="left"/>
      <w:pPr>
        <w:ind w:left="783" w:hanging="127"/>
      </w:pPr>
      <w:rPr>
        <w:rFonts w:hint="default"/>
        <w:lang w:val="en-US" w:eastAsia="en-US" w:bidi="en-US"/>
      </w:rPr>
    </w:lvl>
    <w:lvl w:ilvl="2" w:tplc="0EC26B0C">
      <w:numFmt w:val="bullet"/>
      <w:lvlText w:val="•"/>
      <w:lvlJc w:val="left"/>
      <w:pPr>
        <w:ind w:left="1466" w:hanging="127"/>
      </w:pPr>
      <w:rPr>
        <w:rFonts w:hint="default"/>
        <w:lang w:val="en-US" w:eastAsia="en-US" w:bidi="en-US"/>
      </w:rPr>
    </w:lvl>
    <w:lvl w:ilvl="3" w:tplc="3508CA2C">
      <w:numFmt w:val="bullet"/>
      <w:lvlText w:val="•"/>
      <w:lvlJc w:val="left"/>
      <w:pPr>
        <w:ind w:left="2150" w:hanging="127"/>
      </w:pPr>
      <w:rPr>
        <w:rFonts w:hint="default"/>
        <w:lang w:val="en-US" w:eastAsia="en-US" w:bidi="en-US"/>
      </w:rPr>
    </w:lvl>
    <w:lvl w:ilvl="4" w:tplc="9CD076B4">
      <w:numFmt w:val="bullet"/>
      <w:lvlText w:val="•"/>
      <w:lvlJc w:val="left"/>
      <w:pPr>
        <w:ind w:left="2833" w:hanging="127"/>
      </w:pPr>
      <w:rPr>
        <w:rFonts w:hint="default"/>
        <w:lang w:val="en-US" w:eastAsia="en-US" w:bidi="en-US"/>
      </w:rPr>
    </w:lvl>
    <w:lvl w:ilvl="5" w:tplc="4CA26A4C">
      <w:numFmt w:val="bullet"/>
      <w:lvlText w:val="•"/>
      <w:lvlJc w:val="left"/>
      <w:pPr>
        <w:ind w:left="3517" w:hanging="127"/>
      </w:pPr>
      <w:rPr>
        <w:rFonts w:hint="default"/>
        <w:lang w:val="en-US" w:eastAsia="en-US" w:bidi="en-US"/>
      </w:rPr>
    </w:lvl>
    <w:lvl w:ilvl="6" w:tplc="7E9472C8">
      <w:numFmt w:val="bullet"/>
      <w:lvlText w:val="•"/>
      <w:lvlJc w:val="left"/>
      <w:pPr>
        <w:ind w:left="4200" w:hanging="127"/>
      </w:pPr>
      <w:rPr>
        <w:rFonts w:hint="default"/>
        <w:lang w:val="en-US" w:eastAsia="en-US" w:bidi="en-US"/>
      </w:rPr>
    </w:lvl>
    <w:lvl w:ilvl="7" w:tplc="F8CAE8E2">
      <w:numFmt w:val="bullet"/>
      <w:lvlText w:val="•"/>
      <w:lvlJc w:val="left"/>
      <w:pPr>
        <w:ind w:left="4883" w:hanging="127"/>
      </w:pPr>
      <w:rPr>
        <w:rFonts w:hint="default"/>
        <w:lang w:val="en-US" w:eastAsia="en-US" w:bidi="en-US"/>
      </w:rPr>
    </w:lvl>
    <w:lvl w:ilvl="8" w:tplc="BCA6E5E4">
      <w:numFmt w:val="bullet"/>
      <w:lvlText w:val="•"/>
      <w:lvlJc w:val="left"/>
      <w:pPr>
        <w:ind w:left="5567" w:hanging="127"/>
      </w:pPr>
      <w:rPr>
        <w:rFonts w:hint="default"/>
        <w:lang w:val="en-US" w:eastAsia="en-US" w:bidi="en-US"/>
      </w:rPr>
    </w:lvl>
  </w:abstractNum>
  <w:num w:numId="1" w16cid:durableId="495001551">
    <w:abstractNumId w:val="2"/>
  </w:num>
  <w:num w:numId="2" w16cid:durableId="1442723826">
    <w:abstractNumId w:val="1"/>
  </w:num>
  <w:num w:numId="3" w16cid:durableId="23058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175F"/>
    <w:rsid w:val="00003F59"/>
    <w:rsid w:val="00022A81"/>
    <w:rsid w:val="000329FA"/>
    <w:rsid w:val="000409B8"/>
    <w:rsid w:val="00090239"/>
    <w:rsid w:val="000A5B28"/>
    <w:rsid w:val="000C1DC0"/>
    <w:rsid w:val="000E4C59"/>
    <w:rsid w:val="0010194A"/>
    <w:rsid w:val="00112DF9"/>
    <w:rsid w:val="00121DB6"/>
    <w:rsid w:val="001445DC"/>
    <w:rsid w:val="00150326"/>
    <w:rsid w:val="0016074E"/>
    <w:rsid w:val="001B0987"/>
    <w:rsid w:val="001E1973"/>
    <w:rsid w:val="00206083"/>
    <w:rsid w:val="00232FFF"/>
    <w:rsid w:val="00261B27"/>
    <w:rsid w:val="00286E37"/>
    <w:rsid w:val="002D4272"/>
    <w:rsid w:val="002E4BB9"/>
    <w:rsid w:val="002F6E38"/>
    <w:rsid w:val="00331384"/>
    <w:rsid w:val="00356193"/>
    <w:rsid w:val="00395BB9"/>
    <w:rsid w:val="003F1990"/>
    <w:rsid w:val="003F5E34"/>
    <w:rsid w:val="004178C6"/>
    <w:rsid w:val="00446FE9"/>
    <w:rsid w:val="00460637"/>
    <w:rsid w:val="004631A8"/>
    <w:rsid w:val="00465E84"/>
    <w:rsid w:val="00481FEF"/>
    <w:rsid w:val="00485DE8"/>
    <w:rsid w:val="004A17C1"/>
    <w:rsid w:val="004C7D68"/>
    <w:rsid w:val="00521244"/>
    <w:rsid w:val="00546FA2"/>
    <w:rsid w:val="0055661A"/>
    <w:rsid w:val="00566862"/>
    <w:rsid w:val="00573732"/>
    <w:rsid w:val="005751B1"/>
    <w:rsid w:val="00595132"/>
    <w:rsid w:val="005B49F9"/>
    <w:rsid w:val="005F3520"/>
    <w:rsid w:val="005F58D9"/>
    <w:rsid w:val="00652884"/>
    <w:rsid w:val="0069344F"/>
    <w:rsid w:val="006F1970"/>
    <w:rsid w:val="00726911"/>
    <w:rsid w:val="00735468"/>
    <w:rsid w:val="00747759"/>
    <w:rsid w:val="0075659C"/>
    <w:rsid w:val="008275D9"/>
    <w:rsid w:val="00835A05"/>
    <w:rsid w:val="008516C0"/>
    <w:rsid w:val="0087668C"/>
    <w:rsid w:val="008A143A"/>
    <w:rsid w:val="008B175F"/>
    <w:rsid w:val="008D69AF"/>
    <w:rsid w:val="008F47FC"/>
    <w:rsid w:val="00926A87"/>
    <w:rsid w:val="00931E66"/>
    <w:rsid w:val="00955993"/>
    <w:rsid w:val="0098685F"/>
    <w:rsid w:val="009B42DA"/>
    <w:rsid w:val="009B49B7"/>
    <w:rsid w:val="009E1F19"/>
    <w:rsid w:val="009E509E"/>
    <w:rsid w:val="00A22BFE"/>
    <w:rsid w:val="00A60407"/>
    <w:rsid w:val="00A76747"/>
    <w:rsid w:val="00A83A68"/>
    <w:rsid w:val="00B54556"/>
    <w:rsid w:val="00B57E70"/>
    <w:rsid w:val="00BA227F"/>
    <w:rsid w:val="00BD1162"/>
    <w:rsid w:val="00C24302"/>
    <w:rsid w:val="00C27898"/>
    <w:rsid w:val="00C42295"/>
    <w:rsid w:val="00C47D80"/>
    <w:rsid w:val="00C74AA2"/>
    <w:rsid w:val="00C77FB3"/>
    <w:rsid w:val="00CC3442"/>
    <w:rsid w:val="00CD2C3B"/>
    <w:rsid w:val="00D33C72"/>
    <w:rsid w:val="00D57152"/>
    <w:rsid w:val="00D600EE"/>
    <w:rsid w:val="00D628A5"/>
    <w:rsid w:val="00D662AA"/>
    <w:rsid w:val="00D75B2C"/>
    <w:rsid w:val="00D773F4"/>
    <w:rsid w:val="00D824B7"/>
    <w:rsid w:val="00D8649D"/>
    <w:rsid w:val="00DB583F"/>
    <w:rsid w:val="00DF157B"/>
    <w:rsid w:val="00E37EBE"/>
    <w:rsid w:val="00E45E10"/>
    <w:rsid w:val="00E72CA0"/>
    <w:rsid w:val="00E9682F"/>
    <w:rsid w:val="00EB471F"/>
    <w:rsid w:val="00ED459B"/>
    <w:rsid w:val="00F276CE"/>
    <w:rsid w:val="00F36BFA"/>
    <w:rsid w:val="00F46F85"/>
    <w:rsid w:val="00F71B54"/>
    <w:rsid w:val="00F76138"/>
    <w:rsid w:val="00F800BB"/>
    <w:rsid w:val="00F87866"/>
    <w:rsid w:val="00F91805"/>
    <w:rsid w:val="00FB4474"/>
    <w:rsid w:val="00FD73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27CA"/>
  <w15:docId w15:val="{91B793BE-8C78-4674-BC06-B817B64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0407"/>
    <w:rPr>
      <w:rFonts w:ascii="Arial" w:eastAsia="Arial" w:hAnsi="Arial" w:cs="Arial"/>
      <w:lang w:bidi="en-US"/>
    </w:rPr>
  </w:style>
  <w:style w:type="paragraph" w:styleId="Heading1">
    <w:name w:val="heading 1"/>
    <w:basedOn w:val="Normal"/>
    <w:uiPriority w:val="1"/>
    <w:qFormat/>
    <w:rsid w:val="00A60407"/>
    <w:pPr>
      <w:ind w:left="102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0407"/>
    <w:rPr>
      <w:sz w:val="20"/>
      <w:szCs w:val="20"/>
    </w:rPr>
  </w:style>
  <w:style w:type="paragraph" w:styleId="ListParagraph">
    <w:name w:val="List Paragraph"/>
    <w:basedOn w:val="Normal"/>
    <w:uiPriority w:val="1"/>
    <w:qFormat/>
    <w:rsid w:val="00A60407"/>
  </w:style>
  <w:style w:type="paragraph" w:customStyle="1" w:styleId="TableParagraph">
    <w:name w:val="Table Paragraph"/>
    <w:basedOn w:val="Normal"/>
    <w:uiPriority w:val="1"/>
    <w:qFormat/>
    <w:rsid w:val="00A60407"/>
    <w:pPr>
      <w:ind w:left="100"/>
    </w:pPr>
  </w:style>
  <w:style w:type="character" w:styleId="Hyperlink">
    <w:name w:val="Hyperlink"/>
    <w:basedOn w:val="DefaultParagraphFont"/>
    <w:uiPriority w:val="99"/>
    <w:unhideWhenUsed/>
    <w:rsid w:val="00DB583F"/>
    <w:rPr>
      <w:color w:val="0000FF" w:themeColor="hyperlink"/>
      <w:u w:val="single"/>
    </w:rPr>
  </w:style>
  <w:style w:type="character" w:customStyle="1" w:styleId="UnresolvedMention1">
    <w:name w:val="Unresolved Mention1"/>
    <w:basedOn w:val="DefaultParagraphFont"/>
    <w:uiPriority w:val="99"/>
    <w:semiHidden/>
    <w:unhideWhenUsed/>
    <w:rsid w:val="00DB583F"/>
    <w:rPr>
      <w:color w:val="808080"/>
      <w:shd w:val="clear" w:color="auto" w:fill="E6E6E6"/>
    </w:rPr>
  </w:style>
  <w:style w:type="paragraph" w:styleId="Header">
    <w:name w:val="header"/>
    <w:basedOn w:val="Normal"/>
    <w:link w:val="HeaderChar"/>
    <w:uiPriority w:val="99"/>
    <w:unhideWhenUsed/>
    <w:rsid w:val="008516C0"/>
    <w:pPr>
      <w:tabs>
        <w:tab w:val="center" w:pos="4680"/>
        <w:tab w:val="right" w:pos="9360"/>
      </w:tabs>
    </w:pPr>
  </w:style>
  <w:style w:type="character" w:customStyle="1" w:styleId="HeaderChar">
    <w:name w:val="Header Char"/>
    <w:basedOn w:val="DefaultParagraphFont"/>
    <w:link w:val="Header"/>
    <w:uiPriority w:val="99"/>
    <w:rsid w:val="008516C0"/>
    <w:rPr>
      <w:rFonts w:ascii="Arial" w:eastAsia="Arial" w:hAnsi="Arial" w:cs="Arial"/>
      <w:lang w:bidi="en-US"/>
    </w:rPr>
  </w:style>
  <w:style w:type="paragraph" w:styleId="Footer">
    <w:name w:val="footer"/>
    <w:basedOn w:val="Normal"/>
    <w:link w:val="FooterChar"/>
    <w:uiPriority w:val="99"/>
    <w:unhideWhenUsed/>
    <w:rsid w:val="008516C0"/>
    <w:pPr>
      <w:tabs>
        <w:tab w:val="center" w:pos="4680"/>
        <w:tab w:val="right" w:pos="9360"/>
      </w:tabs>
    </w:pPr>
  </w:style>
  <w:style w:type="character" w:customStyle="1" w:styleId="FooterChar">
    <w:name w:val="Footer Char"/>
    <w:basedOn w:val="DefaultParagraphFont"/>
    <w:link w:val="Footer"/>
    <w:uiPriority w:val="99"/>
    <w:rsid w:val="008516C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conv@un.org" TargetMode="External"/><Relationship Id="rId13" Type="http://schemas.openxmlformats.org/officeDocument/2006/relationships/hyperlink" Target="https://dams.reki.bg/uploads/Docs/Files/ESPOO_COMMITTEE_COMPLAINT_TINTYAV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alkank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ms.reki.bg/Dams/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lkanka.bg/" TargetMode="External"/><Relationship Id="rId4" Type="http://schemas.openxmlformats.org/officeDocument/2006/relationships/settings" Target="settings.xml"/><Relationship Id="rId9" Type="http://schemas.openxmlformats.org/officeDocument/2006/relationships/hyperlink" Target="http://www.unece.org/env/e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E1F5-8AA3-4E12-A490-76E7F963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IC_form_for_information_2013</vt:lpstr>
    </vt:vector>
  </TitlesOfParts>
  <Company>Grizli777</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IC_form_for_information_2013</dc:title>
  <dc:creator>smagadi</dc:creator>
  <cp:lastModifiedBy>Balabanov, Dobromir</cp:lastModifiedBy>
  <cp:revision>26</cp:revision>
  <dcterms:created xsi:type="dcterms:W3CDTF">2019-02-10T09:59:00Z</dcterms:created>
  <dcterms:modified xsi:type="dcterms:W3CDTF">2023-08-23T09:18:00Z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PScript5.dll Version 5.2.2</vt:lpwstr>
  </property>
  <property fmtid="{D5CDD505-2E9C-101B-9397-08002B2CF9AE}" pid="4" name="LastSaved">
    <vt:filetime>2018-09-19T00:00:00Z</vt:filetime>
  </property>
</Properties>
</file>